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ackground w:color="F1EFEA"/>
  <w:body>
    <w:p w:rsidR="006C670E" w:rsidP="006C670E" w:rsidRDefault="006C670E" w14:paraId="391076CA" w14:textId="77777777">
      <w:pPr>
        <w:widowControl/>
        <w:tabs>
          <w:tab w:val="clear" w:pos="170"/>
        </w:tabs>
        <w:suppressAutoHyphens w:val="0"/>
        <w:autoSpaceDE/>
        <w:autoSpaceDN/>
        <w:adjustRightInd/>
        <w:spacing w:after="0" w:line="240" w:lineRule="auto"/>
        <w:textAlignment w:val="auto"/>
      </w:pPr>
    </w:p>
    <w:p w:rsidR="648C2C12" w:rsidP="648C2C12" w:rsidRDefault="648C2C12" w14:paraId="03EC6928" w14:textId="786A3757">
      <w:pPr>
        <w:widowControl/>
        <w:tabs>
          <w:tab w:val="clear" w:pos="170"/>
        </w:tabs>
        <w:spacing w:after="0" w:line="240" w:lineRule="auto"/>
      </w:pPr>
    </w:p>
    <w:p w:rsidR="006C670E" w:rsidP="006C670E" w:rsidRDefault="006C670E" w14:paraId="47AA0577" w14:textId="77777777">
      <w:pPr>
        <w:widowControl/>
        <w:tabs>
          <w:tab w:val="clear" w:pos="170"/>
        </w:tabs>
        <w:suppressAutoHyphens w:val="0"/>
        <w:autoSpaceDE/>
        <w:autoSpaceDN/>
        <w:adjustRightInd/>
        <w:spacing w:after="0" w:line="240" w:lineRule="auto"/>
        <w:textAlignment w:val="auto"/>
      </w:pPr>
    </w:p>
    <w:p w:rsidR="006C670E" w:rsidP="006C670E" w:rsidRDefault="006C670E" w14:paraId="60A07727" w14:textId="77777777">
      <w:pPr>
        <w:widowControl/>
        <w:tabs>
          <w:tab w:val="clear" w:pos="170"/>
        </w:tabs>
        <w:suppressAutoHyphens w:val="0"/>
        <w:autoSpaceDE/>
        <w:autoSpaceDN/>
        <w:adjustRightInd/>
        <w:spacing w:after="0" w:line="240" w:lineRule="auto"/>
        <w:textAlignment w:val="auto"/>
      </w:pPr>
    </w:p>
    <w:p w:rsidR="006C670E" w:rsidP="006C670E" w:rsidRDefault="006C670E" w14:paraId="0707F39B" w14:textId="77777777">
      <w:pPr>
        <w:widowControl/>
        <w:tabs>
          <w:tab w:val="clear" w:pos="170"/>
        </w:tabs>
        <w:suppressAutoHyphens w:val="0"/>
        <w:autoSpaceDE/>
        <w:autoSpaceDN/>
        <w:adjustRightInd/>
        <w:spacing w:after="0" w:line="240" w:lineRule="auto"/>
        <w:textAlignment w:val="auto"/>
      </w:pPr>
    </w:p>
    <w:p w:rsidR="006C670E" w:rsidP="006C670E" w:rsidRDefault="006C670E" w14:paraId="57192C04" w14:textId="77777777">
      <w:pPr>
        <w:widowControl/>
        <w:tabs>
          <w:tab w:val="clear" w:pos="170"/>
        </w:tabs>
        <w:suppressAutoHyphens w:val="0"/>
        <w:autoSpaceDE/>
        <w:autoSpaceDN/>
        <w:adjustRightInd/>
        <w:spacing w:after="0" w:line="240" w:lineRule="auto"/>
        <w:textAlignment w:val="auto"/>
      </w:pPr>
    </w:p>
    <w:p w:rsidR="006C670E" w:rsidP="006C670E" w:rsidRDefault="006C670E" w14:paraId="7BBA83D2" w14:textId="77777777">
      <w:pPr>
        <w:widowControl/>
        <w:tabs>
          <w:tab w:val="clear" w:pos="170"/>
        </w:tabs>
        <w:suppressAutoHyphens w:val="0"/>
        <w:autoSpaceDE/>
        <w:autoSpaceDN/>
        <w:adjustRightInd/>
        <w:spacing w:after="0" w:line="240" w:lineRule="auto"/>
        <w:textAlignment w:val="auto"/>
      </w:pPr>
    </w:p>
    <w:p w:rsidR="0040757C" w:rsidP="00F5443C" w:rsidRDefault="0040757C" w14:paraId="688EE428" w14:textId="77777777">
      <w:pPr>
        <w:pStyle w:val="Aheading"/>
      </w:pPr>
    </w:p>
    <w:p w:rsidR="00BD1D8C" w:rsidP="00F5443C" w:rsidRDefault="00E029A4" w14:paraId="61CC5F4C" w14:textId="77777777">
      <w:pPr>
        <w:pStyle w:val="Aheading"/>
      </w:pPr>
      <w:r w:rsidRPr="00F5443C">
        <w:t xml:space="preserve">Submission to the </w:t>
      </w:r>
      <w:r w:rsidRPr="00F5443C" w:rsidR="75A886F1">
        <w:t xml:space="preserve">Discussion paper ‘Defining </w:t>
      </w:r>
    </w:p>
    <w:p w:rsidR="00BD1D8C" w:rsidP="00F5443C" w:rsidRDefault="75A886F1" w14:paraId="46814C3A" w14:textId="77777777">
      <w:pPr>
        <w:pStyle w:val="Aheading"/>
      </w:pPr>
      <w:r w:rsidRPr="00F5443C">
        <w:t>Prohibited Practices</w:t>
      </w:r>
      <w:r w:rsidRPr="00F5443C" w:rsidR="00A84924">
        <w:t xml:space="preserve"> for the Office of the Senior </w:t>
      </w:r>
    </w:p>
    <w:p w:rsidR="00E029A4" w:rsidP="00F5443C" w:rsidRDefault="00A84924" w14:paraId="180ABCA9" w14:textId="7A69C396">
      <w:pPr>
        <w:pStyle w:val="Aheading"/>
      </w:pPr>
      <w:r w:rsidRPr="00F5443C">
        <w:t>Practitioner (OSP)</w:t>
      </w:r>
    </w:p>
    <w:p w:rsidRPr="00F5443C" w:rsidR="00BD1D8C" w:rsidP="00F5443C" w:rsidRDefault="00BD1D8C" w14:paraId="1D5C565C" w14:textId="77777777">
      <w:pPr>
        <w:pStyle w:val="Aheading"/>
      </w:pPr>
    </w:p>
    <w:p w:rsidR="67B27CDE" w:rsidP="00F5443C" w:rsidRDefault="67B27CDE" w14:paraId="47FF070F" w14:textId="25E68AE8">
      <w:pPr>
        <w:pStyle w:val="Aheading"/>
      </w:pPr>
    </w:p>
    <w:p w:rsidR="00C62766" w:rsidP="00C62766" w:rsidRDefault="00C62766" w14:paraId="7DAD1786" w14:textId="48AD1129">
      <w:pPr>
        <w:pStyle w:val="Heading2"/>
        <w:rPr>
          <w:lang w:val="en-AU"/>
        </w:rPr>
      </w:pPr>
      <w:r w:rsidRPr="00C62766">
        <w:rPr>
          <w:lang w:val="en-AU"/>
        </w:rPr>
        <w:t>Impacts of defining Prohibited Practices</w:t>
      </w:r>
    </w:p>
    <w:p w:rsidRPr="00C62766" w:rsidR="00C62766" w:rsidP="00C62766" w:rsidRDefault="00C62766" w14:paraId="47591A7D" w14:textId="3A868D9E">
      <w:pPr>
        <w:rPr>
          <w:lang w:val="en-AU"/>
        </w:rPr>
      </w:pPr>
      <w:r w:rsidRPr="0F8319A6">
        <w:rPr>
          <w:lang w:val="en-AU"/>
        </w:rPr>
        <w:t xml:space="preserve">Advocacy for Inclusion (AFI) welcomes the opportunity to provide feedback to the proposal to define prohibited practices under the </w:t>
      </w:r>
      <w:r w:rsidRPr="0F8319A6">
        <w:rPr>
          <w:i/>
          <w:iCs/>
          <w:lang w:val="en-AU"/>
        </w:rPr>
        <w:t>Senior Practitioner Act 2018</w:t>
      </w:r>
      <w:r w:rsidR="00F6270E">
        <w:rPr>
          <w:i/>
          <w:iCs/>
          <w:lang w:val="en-AU"/>
        </w:rPr>
        <w:t xml:space="preserve"> (</w:t>
      </w:r>
      <w:r w:rsidRPr="00F6270E" w:rsidR="00F6270E">
        <w:rPr>
          <w:i/>
          <w:iCs/>
          <w:lang w:val="en-AU"/>
        </w:rPr>
        <w:t>The Act</w:t>
      </w:r>
      <w:r w:rsidR="00F6270E">
        <w:rPr>
          <w:i/>
          <w:iCs/>
          <w:lang w:val="en-AU"/>
        </w:rPr>
        <w:t>)</w:t>
      </w:r>
      <w:r w:rsidRPr="0F8319A6">
        <w:rPr>
          <w:i/>
          <w:iCs/>
          <w:lang w:val="en-AU"/>
        </w:rPr>
        <w:t xml:space="preserve">. </w:t>
      </w:r>
      <w:r w:rsidRPr="0F8319A6">
        <w:rPr>
          <w:lang w:val="en-AU"/>
        </w:rPr>
        <w:t xml:space="preserve">We welcome the efforts by the Senior Practitioner to </w:t>
      </w:r>
      <w:r w:rsidRPr="0F8319A6" w:rsidR="62C06117">
        <w:rPr>
          <w:lang w:val="en-AU"/>
        </w:rPr>
        <w:t>promote the reduction of</w:t>
      </w:r>
      <w:r w:rsidRPr="0F8319A6" w:rsidR="5A2B221F">
        <w:rPr>
          <w:lang w:val="en-AU"/>
        </w:rPr>
        <w:t xml:space="preserve"> </w:t>
      </w:r>
      <w:r w:rsidRPr="0F8319A6">
        <w:rPr>
          <w:lang w:val="en-AU"/>
        </w:rPr>
        <w:t xml:space="preserve">restrictive practices in the ACT. </w:t>
      </w:r>
    </w:p>
    <w:p w:rsidRPr="00C62766" w:rsidR="00C62766" w:rsidP="00C62766" w:rsidRDefault="00C62766" w14:paraId="405A035A" w14:textId="77777777">
      <w:pPr>
        <w:rPr>
          <w:lang w:val="en-AU"/>
        </w:rPr>
      </w:pPr>
      <w:r w:rsidRPr="00C62766">
        <w:rPr>
          <w:lang w:val="en-AU"/>
        </w:rPr>
        <w:t xml:space="preserve">AFI is a human rights-based organisation, working to further the principles established in the international </w:t>
      </w:r>
      <w:r w:rsidRPr="00C62766">
        <w:rPr>
          <w:i/>
          <w:iCs/>
          <w:lang w:val="en-AU"/>
        </w:rPr>
        <w:t xml:space="preserve">Convention on the Rights of People with Disability </w:t>
      </w:r>
      <w:r w:rsidRPr="00C62766">
        <w:rPr>
          <w:lang w:val="en-AU"/>
        </w:rPr>
        <w:t>(CRPD). Australia is a signatory to the CRPD and therefore the ACT is bound to uphold the human rights obligations enshrined in that instrument.</w:t>
      </w:r>
    </w:p>
    <w:p w:rsidRPr="00C62766" w:rsidR="00C62766" w:rsidP="00C62766" w:rsidRDefault="00C62766" w14:paraId="583F7AA5" w14:textId="77777777">
      <w:pPr>
        <w:rPr>
          <w:lang w:val="en-AU"/>
        </w:rPr>
      </w:pPr>
      <w:r w:rsidRPr="00C62766">
        <w:rPr>
          <w:lang w:val="en-AU"/>
        </w:rPr>
        <w:t xml:space="preserve">AFI considers all use of restrictive practices, regardless of context or purpose as a violation of human rights. The </w:t>
      </w:r>
      <w:r w:rsidRPr="00C62766">
        <w:rPr>
          <w:i/>
          <w:iCs/>
          <w:lang w:val="en-AU"/>
        </w:rPr>
        <w:t>CRPD</w:t>
      </w:r>
      <w:r w:rsidRPr="00C62766">
        <w:rPr>
          <w:lang w:val="en-AU"/>
        </w:rPr>
        <w:t xml:space="preserve"> establishes that people with disability have the right to:</w:t>
      </w:r>
    </w:p>
    <w:p w:rsidRPr="00C62766" w:rsidR="00C62766" w:rsidP="00C62766" w:rsidRDefault="00C62766" w14:paraId="1650FBD0" w14:textId="77777777">
      <w:pPr>
        <w:rPr>
          <w:lang w:val="en-AU"/>
        </w:rPr>
      </w:pPr>
    </w:p>
    <w:p w:rsidRPr="00C62766" w:rsidR="00C62766" w:rsidP="00C62766" w:rsidRDefault="00C62766" w14:paraId="3BD9154F" w14:textId="77777777">
      <w:pPr>
        <w:numPr>
          <w:ilvl w:val="0"/>
          <w:numId w:val="3"/>
        </w:numPr>
        <w:rPr>
          <w:lang w:val="en-AU"/>
        </w:rPr>
      </w:pPr>
      <w:r w:rsidRPr="00C62766">
        <w:rPr>
          <w:lang w:val="en-AU"/>
        </w:rPr>
        <w:t>Equal recognition before the law (Article 12)</w:t>
      </w:r>
      <w:r w:rsidRPr="00C62766">
        <w:rPr>
          <w:vertAlign w:val="superscript"/>
          <w:lang w:val="en-AU"/>
        </w:rPr>
        <w:t xml:space="preserve"> </w:t>
      </w:r>
      <w:r w:rsidRPr="00C62766">
        <w:rPr>
          <w:vertAlign w:val="superscript"/>
          <w:lang w:val="en-AU"/>
        </w:rPr>
        <w:footnoteReference w:id="2"/>
      </w:r>
    </w:p>
    <w:p w:rsidRPr="00C62766" w:rsidR="00C62766" w:rsidP="00C62766" w:rsidRDefault="00C62766" w14:paraId="12133AC3" w14:textId="4FB141E4">
      <w:pPr>
        <w:numPr>
          <w:ilvl w:val="0"/>
          <w:numId w:val="3"/>
        </w:numPr>
        <w:rPr>
          <w:lang w:val="en-AU"/>
        </w:rPr>
      </w:pPr>
      <w:r w:rsidRPr="00C62766">
        <w:rPr>
          <w:lang w:val="en-AU"/>
        </w:rPr>
        <w:t>Freedom from torture or cruel, inhuman, or degrading treatment or punishment (Article 15)</w:t>
      </w:r>
      <w:r w:rsidRPr="00C62766">
        <w:rPr>
          <w:vertAlign w:val="superscript"/>
          <w:lang w:val="en-AU"/>
        </w:rPr>
        <w:t xml:space="preserve"> </w:t>
      </w:r>
      <w:r w:rsidRPr="00C62766">
        <w:rPr>
          <w:vertAlign w:val="superscript"/>
          <w:lang w:val="en-AU"/>
        </w:rPr>
        <w:footnoteReference w:id="3"/>
      </w:r>
    </w:p>
    <w:p w:rsidRPr="00C62766" w:rsidR="00C62766" w:rsidP="00C62766" w:rsidRDefault="00C62766" w14:paraId="06C21420" w14:textId="77777777">
      <w:pPr>
        <w:rPr>
          <w:lang w:val="en-AU"/>
        </w:rPr>
      </w:pPr>
    </w:p>
    <w:p w:rsidRPr="00C62766" w:rsidR="00C62766" w:rsidP="00C62766" w:rsidRDefault="00C62766" w14:paraId="5E8AB576" w14:textId="08C3D39C">
      <w:pPr>
        <w:rPr>
          <w:lang w:val="en-AU"/>
        </w:rPr>
      </w:pPr>
      <w:r w:rsidRPr="00C62766">
        <w:rPr>
          <w:lang w:val="en-AU"/>
        </w:rPr>
        <w:t>Additionally, the UN Special Rapporteur on Torture has condemned the use of restrictive pra</w:t>
      </w:r>
      <w:r w:rsidR="00113AF6">
        <w:rPr>
          <w:lang w:val="en-AU"/>
        </w:rPr>
        <w:t xml:space="preserve">ctices </w:t>
      </w:r>
      <w:r w:rsidRPr="00C62766">
        <w:rPr>
          <w:lang w:val="en-AU"/>
        </w:rPr>
        <w:t>in Australia.</w:t>
      </w:r>
      <w:r w:rsidRPr="00C62766">
        <w:rPr>
          <w:vertAlign w:val="superscript"/>
          <w:lang w:val="en-AU"/>
        </w:rPr>
        <w:footnoteReference w:id="4"/>
      </w:r>
      <w:r w:rsidRPr="00C62766">
        <w:rPr>
          <w:lang w:val="en-AU"/>
        </w:rPr>
        <w:t xml:space="preserve"> He emphasised that forced treatment of people with disability is inconsistent with the CRPD. The UN Committee on the Rights of Persons with Disabilities has called on Australia to end the use of restrictive practices.</w:t>
      </w:r>
      <w:r w:rsidRPr="00C62766">
        <w:rPr>
          <w:vertAlign w:val="superscript"/>
          <w:lang w:val="en-AU"/>
        </w:rPr>
        <w:footnoteReference w:id="5"/>
      </w:r>
      <w:r w:rsidRPr="00C62766">
        <w:rPr>
          <w:lang w:val="en-AU"/>
        </w:rPr>
        <w:t xml:space="preserve"> </w:t>
      </w:r>
    </w:p>
    <w:p w:rsidRPr="00C62766" w:rsidR="00C62766" w:rsidP="1893D9AA" w:rsidRDefault="0A37D8A2" w14:paraId="2F28A630" w14:textId="0D58EE86">
      <w:pPr>
        <w:rPr>
          <w:highlight w:val="yellow"/>
          <w:lang w:val="en-AU"/>
        </w:rPr>
      </w:pPr>
      <w:r w:rsidRPr="00C62766">
        <w:rPr>
          <w:lang w:val="en-AU"/>
        </w:rPr>
        <w:t>This position is shared by peak disability organisations including People with Disability Australia</w:t>
      </w:r>
      <w:r w:rsidRPr="00C62766" w:rsidR="00C62766">
        <w:rPr>
          <w:vertAlign w:val="superscript"/>
          <w:lang w:val="en-AU"/>
        </w:rPr>
        <w:footnoteReference w:id="6"/>
      </w:r>
      <w:r w:rsidRPr="00C62766">
        <w:rPr>
          <w:lang w:val="en-AU"/>
        </w:rPr>
        <w:t xml:space="preserve"> and Women with Disability Australia.</w:t>
      </w:r>
      <w:r w:rsidRPr="00C62766" w:rsidR="00C62766">
        <w:rPr>
          <w:vertAlign w:val="superscript"/>
          <w:lang w:val="en-AU"/>
        </w:rPr>
        <w:footnoteReference w:id="7"/>
      </w:r>
      <w:r w:rsidRPr="00C62766">
        <w:rPr>
          <w:lang w:val="en-AU"/>
        </w:rPr>
        <w:t xml:space="preserve"> Similarly, in the ACT, disability organisations including </w:t>
      </w:r>
      <w:r w:rsidRPr="00C62766" w:rsidR="56D0C358">
        <w:rPr>
          <w:lang w:val="en-AU"/>
        </w:rPr>
        <w:t>ACTCOSS</w:t>
      </w:r>
      <w:r w:rsidRPr="1893D9AA" w:rsidR="00C62766">
        <w:rPr>
          <w:rStyle w:val="FootnoteReference"/>
          <w:lang w:val="en-AU"/>
        </w:rPr>
        <w:footnoteReference w:id="8"/>
      </w:r>
      <w:r w:rsidRPr="00C62766" w:rsidR="56D0C358">
        <w:rPr>
          <w:lang w:val="en-AU"/>
        </w:rPr>
        <w:t xml:space="preserve"> and Imagine More</w:t>
      </w:r>
      <w:r w:rsidRPr="1893D9AA" w:rsidR="00C62766">
        <w:rPr>
          <w:rStyle w:val="FootnoteReference"/>
          <w:lang w:val="en-AU"/>
        </w:rPr>
        <w:footnoteReference w:id="9"/>
      </w:r>
      <w:r w:rsidRPr="1893D9AA">
        <w:rPr>
          <w:lang w:val="en-AU"/>
        </w:rPr>
        <w:t xml:space="preserve"> </w:t>
      </w:r>
      <w:r w:rsidRPr="00C62766">
        <w:rPr>
          <w:lang w:val="en-AU"/>
        </w:rPr>
        <w:t xml:space="preserve">also advocate for the end of the use of restrictive </w:t>
      </w:r>
      <w:r w:rsidRPr="00C62766" w:rsidR="61A523E1">
        <w:rPr>
          <w:lang w:val="en-AU"/>
        </w:rPr>
        <w:t>practices.</w:t>
      </w:r>
    </w:p>
    <w:p w:rsidR="00D34879" w:rsidP="00C62766" w:rsidRDefault="00D34879" w14:paraId="38BDE0FD" w14:textId="0D215A77">
      <w:pPr>
        <w:rPr>
          <w:lang w:val="en-AU"/>
        </w:rPr>
      </w:pPr>
      <w:r w:rsidRPr="5A513947">
        <w:rPr>
          <w:lang w:val="en-AU"/>
        </w:rPr>
        <w:t xml:space="preserve">In broad terms AFI believe that </w:t>
      </w:r>
      <w:r w:rsidRPr="5A513947" w:rsidR="002F1D19">
        <w:rPr>
          <w:lang w:val="en-AU"/>
        </w:rPr>
        <w:t>restrictive</w:t>
      </w:r>
      <w:r w:rsidRPr="5A513947">
        <w:rPr>
          <w:lang w:val="en-AU"/>
        </w:rPr>
        <w:t xml:space="preserve"> practices should be eliminated </w:t>
      </w:r>
      <w:r w:rsidRPr="5A513947" w:rsidR="002F1D19">
        <w:rPr>
          <w:lang w:val="en-AU"/>
        </w:rPr>
        <w:t xml:space="preserve">rather than identifying a list of specific practices </w:t>
      </w:r>
      <w:r w:rsidRPr="5A513947" w:rsidR="00E82245">
        <w:rPr>
          <w:lang w:val="en-AU"/>
        </w:rPr>
        <w:t>to be eliminated.  AFI is concerned that the creation of a prohibited practice list may c</w:t>
      </w:r>
      <w:r w:rsidRPr="5A513947" w:rsidR="17095A4B">
        <w:rPr>
          <w:lang w:val="en-AU"/>
        </w:rPr>
        <w:t>reate</w:t>
      </w:r>
      <w:r w:rsidRPr="5A513947" w:rsidR="00E82245">
        <w:rPr>
          <w:lang w:val="en-AU"/>
        </w:rPr>
        <w:t xml:space="preserve"> the impression that other restrictive practices are subsequently less severe, or more acceptable in usage. This may risk the violation of the human rights of people with disabilities in the ACT across a range of contexts. As a human rights jurisdiction the ACT has a responsibility to protect all people, especially people with disability and children from abuse. The discussions about restrictive practices </w:t>
      </w:r>
      <w:r w:rsidRPr="5A513947" w:rsidR="00E82245">
        <w:rPr>
          <w:b/>
          <w:bCs/>
          <w:lang w:val="en-AU"/>
        </w:rPr>
        <w:t>must</w:t>
      </w:r>
      <w:r w:rsidRPr="5A513947" w:rsidR="00E82245">
        <w:rPr>
          <w:lang w:val="en-AU"/>
        </w:rPr>
        <w:t xml:space="preserve"> focus on elimination rather than regulation.</w:t>
      </w:r>
    </w:p>
    <w:p w:rsidRPr="00C62766" w:rsidR="00C62766" w:rsidP="00C62766" w:rsidRDefault="00BC3FDB" w14:paraId="4E03EFC4" w14:textId="10E17611">
      <w:pPr>
        <w:rPr>
          <w:lang w:val="en-AU"/>
        </w:rPr>
      </w:pPr>
      <w:r w:rsidRPr="0F8319A6">
        <w:rPr>
          <w:lang w:val="en-AU"/>
        </w:rPr>
        <w:t>However</w:t>
      </w:r>
      <w:r w:rsidR="00872913">
        <w:rPr>
          <w:lang w:val="en-AU"/>
        </w:rPr>
        <w:t>,</w:t>
      </w:r>
      <w:r w:rsidRPr="0F8319A6">
        <w:rPr>
          <w:lang w:val="en-AU"/>
        </w:rPr>
        <w:t xml:space="preserve"> we do recognise that the establishment of a prohibited practice list is potentially a step towards eliminating restrictive </w:t>
      </w:r>
      <w:r w:rsidRPr="0F8319A6" w:rsidR="00872913">
        <w:rPr>
          <w:lang w:val="en-AU"/>
        </w:rPr>
        <w:t>practice.</w:t>
      </w:r>
      <w:r w:rsidRPr="0F8319A6" w:rsidR="00C62766">
        <w:rPr>
          <w:lang w:val="en-AU"/>
        </w:rPr>
        <w:t xml:space="preserve"> We encourage the Senior Practitioner to </w:t>
      </w:r>
      <w:r w:rsidRPr="0F8319A6" w:rsidR="008D5C54">
        <w:rPr>
          <w:lang w:val="en-AU"/>
        </w:rPr>
        <w:t xml:space="preserve">publicly </w:t>
      </w:r>
      <w:r w:rsidRPr="0F8319A6" w:rsidR="00C62766">
        <w:rPr>
          <w:lang w:val="en-AU"/>
        </w:rPr>
        <w:t>commit to the continual expansion of the restrictive practices that fall within the prohibited practice list, with the aim of eliminating restrictive practices in the ACT.</w:t>
      </w:r>
      <w:r w:rsidRPr="0F8319A6" w:rsidR="00F71124">
        <w:rPr>
          <w:lang w:val="en-AU"/>
        </w:rPr>
        <w:t xml:space="preserve"> </w:t>
      </w:r>
    </w:p>
    <w:p w:rsidRPr="00C62766" w:rsidR="00C62766" w:rsidP="00C62766" w:rsidRDefault="00C62766" w14:paraId="08121B1B" w14:textId="2AA62D6F">
      <w:pPr>
        <w:rPr>
          <w:lang w:val="en-AU"/>
        </w:rPr>
      </w:pPr>
    </w:p>
    <w:p w:rsidRPr="00C62766" w:rsidR="00C62766" w:rsidP="00C62766" w:rsidRDefault="00C62766" w14:paraId="47624489" w14:textId="77777777">
      <w:pPr>
        <w:rPr>
          <w:lang w:val="en-AU"/>
        </w:rPr>
      </w:pPr>
      <w:r w:rsidRPr="00C62766">
        <w:rPr>
          <w:lang w:val="en-AU"/>
        </w:rPr>
        <w:t>AFI therefore recommends the implementation of the prohibited practice list alongside a robust campaign to ensure educators and service providers are aware of the serious nature of restrictive practices, notably the human rights impacts of such practices, and provide resources to assist them to transition away from restrictive practices within their service.</w:t>
      </w:r>
    </w:p>
    <w:p w:rsidRPr="00C62766" w:rsidR="00C62766" w:rsidP="00C62766" w:rsidRDefault="00C62766" w14:paraId="1FEC0893" w14:textId="047D1DFE">
      <w:pPr>
        <w:rPr>
          <w:lang w:val="en-AU"/>
        </w:rPr>
      </w:pPr>
      <w:r w:rsidRPr="5A513947">
        <w:rPr>
          <w:lang w:val="en-AU"/>
        </w:rPr>
        <w:t>We also strongly recommend that the list of prohibited practices be continually updated to reflect the work of the office of the Senior Practitioner to eliminate restrictive practices in the ACT.</w:t>
      </w:r>
    </w:p>
    <w:p w:rsidRPr="00C62766" w:rsidR="00C62766" w:rsidP="00C62766" w:rsidRDefault="00C62766" w14:paraId="3D11A9D9" w14:textId="3675DF6A">
      <w:pPr>
        <w:rPr>
          <w:lang w:val="en-AU"/>
        </w:rPr>
      </w:pPr>
      <w:r w:rsidRPr="5A513947">
        <w:rPr>
          <w:lang w:val="en-AU"/>
        </w:rPr>
        <w:t>Finally, AFI recommends strong penalties for use of prohibited practices, or abusive use of restrictive practice</w:t>
      </w:r>
      <w:r w:rsidRPr="5A513947" w:rsidR="45905B8C">
        <w:rPr>
          <w:lang w:val="en-AU"/>
        </w:rPr>
        <w:t>.</w:t>
      </w:r>
      <w:r w:rsidRPr="5A513947">
        <w:rPr>
          <w:lang w:val="en-AU"/>
        </w:rPr>
        <w:t xml:space="preserve"> </w:t>
      </w:r>
      <w:r w:rsidRPr="5A513947" w:rsidR="7D677A6A">
        <w:rPr>
          <w:lang w:val="en-AU"/>
        </w:rPr>
        <w:t>O</w:t>
      </w:r>
      <w:r w:rsidRPr="5A513947">
        <w:rPr>
          <w:lang w:val="en-AU"/>
        </w:rPr>
        <w:t xml:space="preserve">ur recommendations are outlined further below. </w:t>
      </w:r>
    </w:p>
    <w:p w:rsidRPr="00A448BA" w:rsidR="00C62766" w:rsidP="00C62766" w:rsidRDefault="004F221B" w14:paraId="77EEE75A" w14:textId="5F627817">
      <w:pPr>
        <w:rPr>
          <w:u w:val="single"/>
          <w:lang w:val="en-AU"/>
        </w:rPr>
      </w:pPr>
      <w:r w:rsidRPr="00A448BA">
        <w:rPr>
          <w:u w:val="single"/>
          <w:lang w:val="en-AU"/>
        </w:rPr>
        <w:t>Recommendations:</w:t>
      </w:r>
    </w:p>
    <w:p w:rsidR="004F221B" w:rsidP="004F221B" w:rsidRDefault="394458BE" w14:paraId="453652E5" w14:textId="20FDB117">
      <w:pPr>
        <w:pStyle w:val="ListParagraph"/>
        <w:numPr>
          <w:ilvl w:val="0"/>
          <w:numId w:val="4"/>
        </w:numPr>
        <w:rPr>
          <w:lang w:val="en-AU"/>
        </w:rPr>
      </w:pPr>
      <w:r w:rsidRPr="5A513947">
        <w:rPr>
          <w:lang w:val="en-AU"/>
        </w:rPr>
        <w:t xml:space="preserve">AFI recommends </w:t>
      </w:r>
      <w:r w:rsidRPr="5A513947" w:rsidR="0E491861">
        <w:rPr>
          <w:lang w:val="en-AU"/>
        </w:rPr>
        <w:t>the prohibited practice list be introduced alongside a strong education and awareness campaign to ma</w:t>
      </w:r>
      <w:r w:rsidRPr="5A513947" w:rsidR="2C8D7663">
        <w:rPr>
          <w:lang w:val="en-AU"/>
        </w:rPr>
        <w:t>ke service providers aware of the consequences of restrictive practi</w:t>
      </w:r>
      <w:r w:rsidRPr="5A513947" w:rsidR="6320C738">
        <w:rPr>
          <w:lang w:val="en-AU"/>
        </w:rPr>
        <w:t>c</w:t>
      </w:r>
      <w:r w:rsidRPr="5A513947" w:rsidR="2C8D7663">
        <w:rPr>
          <w:lang w:val="en-AU"/>
        </w:rPr>
        <w:t>es and how they can eliminate usage in their workplace.</w:t>
      </w:r>
    </w:p>
    <w:p w:rsidR="004F221B" w:rsidP="0F8319A6" w:rsidRDefault="6F637445" w14:paraId="69EF35D5" w14:textId="5AA6549E">
      <w:pPr>
        <w:pStyle w:val="ListParagraph"/>
        <w:numPr>
          <w:ilvl w:val="0"/>
          <w:numId w:val="4"/>
        </w:numPr>
        <w:rPr>
          <w:lang w:val="en-AU"/>
        </w:rPr>
      </w:pPr>
      <w:r w:rsidRPr="5A513947">
        <w:rPr>
          <w:lang w:val="en-AU"/>
        </w:rPr>
        <w:t>AFI recommends the list of prohibited practi</w:t>
      </w:r>
      <w:r w:rsidRPr="5A513947" w:rsidR="443C93ED">
        <w:rPr>
          <w:lang w:val="en-AU"/>
        </w:rPr>
        <w:t>c</w:t>
      </w:r>
      <w:r w:rsidRPr="5A513947">
        <w:rPr>
          <w:lang w:val="en-AU"/>
        </w:rPr>
        <w:t>es b</w:t>
      </w:r>
      <w:r w:rsidRPr="5A513947" w:rsidR="24E2CE25">
        <w:rPr>
          <w:lang w:val="en-AU"/>
        </w:rPr>
        <w:t>e</w:t>
      </w:r>
      <w:r w:rsidRPr="5A513947">
        <w:rPr>
          <w:lang w:val="en-AU"/>
        </w:rPr>
        <w:t xml:space="preserve"> updated and expanded on a regular basis to </w:t>
      </w:r>
      <w:r w:rsidRPr="5A513947" w:rsidR="001B29DA">
        <w:rPr>
          <w:lang w:val="en-AU"/>
        </w:rPr>
        <w:t>facilitate</w:t>
      </w:r>
      <w:r w:rsidRPr="5A513947">
        <w:rPr>
          <w:lang w:val="en-AU"/>
        </w:rPr>
        <w:t xml:space="preserve"> the gradual elimination of restrictive prac</w:t>
      </w:r>
      <w:r w:rsidRPr="5A513947" w:rsidR="796245FA">
        <w:rPr>
          <w:lang w:val="en-AU"/>
        </w:rPr>
        <w:t>ti</w:t>
      </w:r>
      <w:r w:rsidRPr="5A513947" w:rsidR="3FEA5B62">
        <w:rPr>
          <w:lang w:val="en-AU"/>
        </w:rPr>
        <w:t>c</w:t>
      </w:r>
      <w:r w:rsidRPr="5A513947" w:rsidR="796245FA">
        <w:rPr>
          <w:lang w:val="en-AU"/>
        </w:rPr>
        <w:t>e usage in the ACT.</w:t>
      </w:r>
    </w:p>
    <w:p w:rsidRPr="004F221B" w:rsidR="00B35414" w:rsidP="00B35414" w:rsidRDefault="00B35414" w14:paraId="4BAE6E57" w14:textId="33C4FC1C">
      <w:pPr>
        <w:pStyle w:val="ListParagraph"/>
        <w:numPr>
          <w:ilvl w:val="1"/>
          <w:numId w:val="4"/>
        </w:numPr>
        <w:rPr>
          <w:lang w:val="en-AU"/>
        </w:rPr>
      </w:pPr>
      <w:r>
        <w:rPr>
          <w:lang w:val="en-AU"/>
        </w:rPr>
        <w:t xml:space="preserve">That the list of prohibited practices by </w:t>
      </w:r>
      <w:r w:rsidR="00393815">
        <w:rPr>
          <w:lang w:val="en-AU"/>
        </w:rPr>
        <w:t>reviewed and expanded in light of findings from the Royal Commission in</w:t>
      </w:r>
      <w:r w:rsidR="00DF47C8">
        <w:rPr>
          <w:lang w:val="en-AU"/>
        </w:rPr>
        <w:t>to</w:t>
      </w:r>
      <w:r w:rsidR="00393815">
        <w:rPr>
          <w:lang w:val="en-AU"/>
        </w:rPr>
        <w:t xml:space="preserve"> Violence, Abuse, Neglect and Exploitation of </w:t>
      </w:r>
      <w:r w:rsidR="00DF47C8">
        <w:rPr>
          <w:lang w:val="en-AU"/>
        </w:rPr>
        <w:t>People with Disability</w:t>
      </w:r>
    </w:p>
    <w:p w:rsidRPr="00650B39" w:rsidR="743D41FC" w:rsidP="743D41FC" w:rsidRDefault="14CCE104" w14:paraId="203051E2" w14:textId="7BF33975">
      <w:pPr>
        <w:pStyle w:val="ListParagraph"/>
        <w:numPr>
          <w:ilvl w:val="0"/>
          <w:numId w:val="4"/>
        </w:numPr>
        <w:rPr>
          <w:lang w:val="en-AU"/>
        </w:rPr>
      </w:pPr>
      <w:r w:rsidRPr="743D41FC">
        <w:rPr>
          <w:lang w:val="en-AU"/>
        </w:rPr>
        <w:t xml:space="preserve">AFI recommends that there is a public </w:t>
      </w:r>
      <w:r w:rsidRPr="743D41FC" w:rsidR="00872913">
        <w:rPr>
          <w:lang w:val="en-AU"/>
        </w:rPr>
        <w:t>commitment</w:t>
      </w:r>
      <w:r w:rsidRPr="743D41FC">
        <w:rPr>
          <w:lang w:val="en-AU"/>
        </w:rPr>
        <w:t xml:space="preserve"> to progressive expansion of the list of prohibited practi</w:t>
      </w:r>
      <w:r w:rsidRPr="743D41FC" w:rsidR="200A8E07">
        <w:rPr>
          <w:lang w:val="en-AU"/>
        </w:rPr>
        <w:t>c</w:t>
      </w:r>
      <w:r w:rsidRPr="743D41FC">
        <w:rPr>
          <w:lang w:val="en-AU"/>
        </w:rPr>
        <w:t>es over time on a regular basis, towards an</w:t>
      </w:r>
      <w:r w:rsidRPr="743D41FC" w:rsidR="0187498B">
        <w:rPr>
          <w:lang w:val="en-AU"/>
        </w:rPr>
        <w:t xml:space="preserve"> end goal of eliminating restrictive practi</w:t>
      </w:r>
      <w:r w:rsidRPr="743D41FC" w:rsidR="29A3DB2A">
        <w:rPr>
          <w:lang w:val="en-AU"/>
        </w:rPr>
        <w:t>c</w:t>
      </w:r>
      <w:r w:rsidRPr="743D41FC" w:rsidR="0187498B">
        <w:rPr>
          <w:lang w:val="en-AU"/>
        </w:rPr>
        <w:t>es in the ACT</w:t>
      </w:r>
    </w:p>
    <w:p w:rsidR="743D41FC" w:rsidP="743D41FC" w:rsidRDefault="743D41FC" w14:paraId="1CE7A00D" w14:textId="3CDCE30B">
      <w:pPr>
        <w:rPr>
          <w:lang w:val="en-AU"/>
        </w:rPr>
      </w:pPr>
    </w:p>
    <w:p w:rsidRPr="00C62766" w:rsidR="00C62766" w:rsidP="00C62766" w:rsidRDefault="00C62766" w14:paraId="464C149D" w14:textId="77777777">
      <w:pPr>
        <w:rPr>
          <w:lang w:val="en-AU"/>
        </w:rPr>
      </w:pPr>
    </w:p>
    <w:p w:rsidR="00C62766" w:rsidP="00C62766" w:rsidRDefault="00C62766" w14:paraId="1F1FB1DD" w14:textId="0BD96852">
      <w:pPr>
        <w:pStyle w:val="Heading2"/>
        <w:rPr>
          <w:lang w:val="en-AU"/>
        </w:rPr>
      </w:pPr>
      <w:r>
        <w:rPr>
          <w:lang w:val="en-AU"/>
        </w:rPr>
        <w:t>Recommended Inclusions to the list of Prohibited Practices</w:t>
      </w:r>
    </w:p>
    <w:p w:rsidR="00C62766" w:rsidP="00C62766" w:rsidRDefault="00C62766" w14:paraId="2E83CD0F" w14:textId="115E85EE">
      <w:pPr>
        <w:rPr>
          <w:lang w:val="en-AU"/>
        </w:rPr>
      </w:pPr>
    </w:p>
    <w:p w:rsidRPr="00C62766" w:rsidR="00C62766" w:rsidP="00C62766" w:rsidRDefault="00C62766" w14:paraId="25706A70" w14:textId="6B554054">
      <w:pPr>
        <w:rPr>
          <w:lang w:val="en-AU"/>
        </w:rPr>
      </w:pPr>
      <w:r w:rsidRPr="0F8319A6">
        <w:rPr>
          <w:lang w:val="en-AU"/>
        </w:rPr>
        <w:t xml:space="preserve">AFI endorses the sample list of restrictive practices which could be prohibited, as provided in the discussion paper. </w:t>
      </w:r>
      <w:r w:rsidRPr="0F8319A6" w:rsidR="003F1BD9">
        <w:rPr>
          <w:lang w:val="en-AU"/>
        </w:rPr>
        <w:t>However,</w:t>
      </w:r>
      <w:r w:rsidRPr="0F8319A6" w:rsidR="004F221B">
        <w:rPr>
          <w:lang w:val="en-AU"/>
        </w:rPr>
        <w:t xml:space="preserve"> w</w:t>
      </w:r>
      <w:r w:rsidRPr="0F8319A6">
        <w:rPr>
          <w:lang w:val="en-AU"/>
        </w:rPr>
        <w:t>e also recommend the following practices be included on the list of prohibited practices</w:t>
      </w:r>
      <w:r w:rsidRPr="0F8319A6" w:rsidR="004F221B">
        <w:rPr>
          <w:lang w:val="en-AU"/>
        </w:rPr>
        <w:t xml:space="preserve"> included at the outset</w:t>
      </w:r>
      <w:r w:rsidRPr="0F8319A6">
        <w:rPr>
          <w:lang w:val="en-AU"/>
        </w:rPr>
        <w:t>:</w:t>
      </w:r>
    </w:p>
    <w:p w:rsidRPr="00C62766" w:rsidR="00C62766" w:rsidP="00C62766" w:rsidRDefault="00C62766" w14:paraId="64B0073A" w14:textId="77777777">
      <w:pPr>
        <w:rPr>
          <w:lang w:val="en-AU"/>
        </w:rPr>
      </w:pPr>
    </w:p>
    <w:p w:rsidRPr="00C62766" w:rsidR="00C62766" w:rsidP="00C62766" w:rsidRDefault="00C62766" w14:paraId="65462A9E" w14:textId="5722EDAD">
      <w:pPr>
        <w:rPr>
          <w:lang w:val="en-AU"/>
        </w:rPr>
      </w:pPr>
      <w:r w:rsidRPr="15D4788E">
        <w:rPr>
          <w:lang w:val="en-AU"/>
        </w:rPr>
        <w:t>Incentivising and/or disincentivising a behaviour using financial rewards or punishments.</w:t>
      </w:r>
    </w:p>
    <w:p w:rsidRPr="00C62766" w:rsidR="00C62766" w:rsidP="00C62766" w:rsidRDefault="4CCA2E85" w14:paraId="4FDDEAF4" w14:textId="7DBFF901">
      <w:pPr>
        <w:pStyle w:val="ListParagraph"/>
        <w:numPr>
          <w:ilvl w:val="0"/>
          <w:numId w:val="2"/>
        </w:numPr>
        <w:rPr>
          <w:lang w:val="en-AU"/>
        </w:rPr>
      </w:pPr>
      <w:r w:rsidRPr="5A513947">
        <w:rPr>
          <w:lang w:val="en-AU"/>
        </w:rPr>
        <w:t>This is practi</w:t>
      </w:r>
      <w:r w:rsidRPr="5A513947" w:rsidR="61DCD4A7">
        <w:rPr>
          <w:lang w:val="en-AU"/>
        </w:rPr>
        <w:t>c</w:t>
      </w:r>
      <w:r w:rsidRPr="5A513947">
        <w:rPr>
          <w:lang w:val="en-AU"/>
        </w:rPr>
        <w:t xml:space="preserve">e of coercive control </w:t>
      </w:r>
      <w:r w:rsidRPr="5A513947" w:rsidR="261B2F65">
        <w:rPr>
          <w:lang w:val="en-AU"/>
        </w:rPr>
        <w:t>wh</w:t>
      </w:r>
      <w:r w:rsidRPr="5A513947" w:rsidR="7C55A80A">
        <w:rPr>
          <w:lang w:val="en-AU"/>
        </w:rPr>
        <w:t xml:space="preserve">ich impacts a </w:t>
      </w:r>
      <w:r w:rsidRPr="5A513947" w:rsidR="006E6E25">
        <w:rPr>
          <w:lang w:val="en-AU"/>
        </w:rPr>
        <w:t>person’s</w:t>
      </w:r>
      <w:r w:rsidRPr="5A513947" w:rsidR="7C55A80A">
        <w:rPr>
          <w:lang w:val="en-AU"/>
        </w:rPr>
        <w:t xml:space="preserve"> financial independence and capacity to leave an abusive or unsafe situation. </w:t>
      </w:r>
    </w:p>
    <w:p w:rsidRPr="00C62766" w:rsidR="00C62766" w:rsidP="00C62766" w:rsidRDefault="00C62766" w14:paraId="0F8B80A3" w14:textId="77777777">
      <w:pPr>
        <w:rPr>
          <w:lang w:val="en-AU"/>
        </w:rPr>
      </w:pPr>
    </w:p>
    <w:p w:rsidRPr="00C62766" w:rsidR="00C62766" w:rsidP="00C62766" w:rsidRDefault="00C62766" w14:paraId="75D2B990" w14:textId="77777777">
      <w:pPr>
        <w:rPr>
          <w:lang w:val="en-AU"/>
        </w:rPr>
      </w:pPr>
      <w:r w:rsidRPr="00C62766">
        <w:rPr>
          <w:lang w:val="en-AU"/>
        </w:rPr>
        <w:t>Force-feeding or depriving a child or young person of food.</w:t>
      </w:r>
    </w:p>
    <w:p w:rsidRPr="00C62766" w:rsidR="00C62766" w:rsidP="00C62766" w:rsidRDefault="0A37D8A2" w14:paraId="3025CD0A" w14:textId="19094109">
      <w:pPr>
        <w:pStyle w:val="ListParagraph"/>
        <w:numPr>
          <w:ilvl w:val="0"/>
          <w:numId w:val="2"/>
        </w:numPr>
        <w:rPr>
          <w:lang w:val="en-AU"/>
        </w:rPr>
      </w:pPr>
      <w:r w:rsidRPr="00C62766">
        <w:rPr>
          <w:lang w:val="en-AU"/>
        </w:rPr>
        <w:t>This practice is a prohibited practice in New South Wales and is considered unlawful to use in any circumstances to manage the behaviour of a child or young person</w:t>
      </w:r>
      <w:r w:rsidRPr="00C62766" w:rsidR="00C62766">
        <w:rPr>
          <w:vertAlign w:val="superscript"/>
          <w:lang w:val="en-AU"/>
        </w:rPr>
        <w:footnoteReference w:id="10"/>
      </w:r>
      <w:r w:rsidRPr="00C62766">
        <w:rPr>
          <w:lang w:val="en-AU"/>
        </w:rPr>
        <w:t xml:space="preserve">. AFI recommends this practice be similarly prohibited in the ACT in order to prevent the traumatisation and abuse of children and young people. </w:t>
      </w:r>
    </w:p>
    <w:p w:rsidRPr="00C62766" w:rsidR="00C62766" w:rsidP="00C62766" w:rsidRDefault="00C62766" w14:paraId="3537B8B3" w14:textId="77777777">
      <w:pPr>
        <w:rPr>
          <w:lang w:val="en-AU"/>
        </w:rPr>
      </w:pPr>
    </w:p>
    <w:p w:rsidRPr="00C62766" w:rsidR="00C62766" w:rsidP="00C62766" w:rsidRDefault="00AB230C" w14:paraId="35B56A1E" w14:textId="17BC227C">
      <w:pPr>
        <w:rPr>
          <w:lang w:val="en-AU"/>
        </w:rPr>
      </w:pPr>
      <w:r w:rsidRPr="003A3797">
        <w:rPr>
          <w:rFonts w:cs="Times New Roman"/>
          <w:noProof/>
          <w:u w:val="single"/>
        </w:rPr>
        <mc:AlternateContent>
          <mc:Choice Requires="wps">
            <w:drawing>
              <wp:anchor distT="0" distB="0" distL="114300" distR="114300" simplePos="0" relativeHeight="251658240" behindDoc="1" locked="0" layoutInCell="0" allowOverlap="1" wp14:anchorId="2783B0EA" wp14:editId="0226BE87">
                <wp:simplePos x="0" y="0"/>
                <wp:positionH relativeFrom="margin">
                  <wp:posOffset>0</wp:posOffset>
                </wp:positionH>
                <wp:positionV relativeFrom="margin">
                  <wp:posOffset>4005580</wp:posOffset>
                </wp:positionV>
                <wp:extent cx="5237480" cy="3142615"/>
                <wp:effectExtent l="0" t="1143000" r="0" b="657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Pr="00AB230C" w:rsidR="00AB230C" w:rsidP="006375AB" w:rsidRDefault="00AB230C" w14:paraId="620F5986" w14:textId="518F162C">
                            <w:pPr>
                              <w:rPr>
                                <w:rFonts w:ascii="Calibri" w:hAnsi="Calibri" w:cs="Calibri"/>
                                <w:color w:val="C0C0C0"/>
                                <w:sz w:val="72"/>
                                <w:szCs w:val="72"/>
                                <w:lang w:val="en-AU"/>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2783B0EA">
                <v:stroke joinstyle="miter"/>
                <v:path gradientshapeok="t" o:connecttype="rect"/>
              </v:shapetype>
              <v:shape id="Text Box 4" style="position:absolute;margin-left:0;margin-top:315.4pt;width:412.4pt;height:247.4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">
                <v:stroke joinstyle="round"/>
                <o:lock v:ext="edit" shapetype="t"/>
                <v:textbox style="mso-fit-shape-to-text:t">
                  <w:txbxContent>
                    <w:p w:rsidRPr="00AB230C" w:rsidR="00AB230C" w:rsidP="006375AB" w:rsidRDefault="00AB230C" w14:paraId="620F5986" w14:textId="518F162C">
                      <w:pPr>
                        <w:rPr>
                          <w:rFonts w:ascii="Calibri" w:hAnsi="Calibri" w:cs="Calibri"/>
                          <w:color w:val="C0C0C0"/>
                          <w:sz w:val="72"/>
                          <w:szCs w:val="72"/>
                          <w:lang w:val="en-AU"/>
                          <w14:textFill>
                            <w14:solidFill>
                              <w14:srgbClr w14:val="C0C0C0">
                                <w14:alpha w14:val="50000"/>
                              </w14:srgbClr>
                            </w14:solidFill>
                          </w14:textFill>
                        </w:rPr>
                      </w:pPr>
                    </w:p>
                  </w:txbxContent>
                </v:textbox>
                <w10:wrap anchorx="margin" anchory="margin"/>
              </v:shape>
            </w:pict>
          </mc:Fallback>
        </mc:AlternateContent>
      </w:r>
      <w:r w:rsidRPr="00C62766" w:rsidR="00C62766">
        <w:rPr>
          <w:lang w:val="en-AU"/>
        </w:rPr>
        <w:t>Restraint and/or seclusion of children and young people</w:t>
      </w:r>
    </w:p>
    <w:p w:rsidRPr="00C62766" w:rsidR="00C62766" w:rsidP="00C62766" w:rsidRDefault="0A37D8A2" w14:paraId="0BB4D87E" w14:textId="094249ED">
      <w:pPr>
        <w:pStyle w:val="ListParagraph"/>
        <w:numPr>
          <w:ilvl w:val="0"/>
          <w:numId w:val="2"/>
        </w:numPr>
        <w:rPr>
          <w:lang w:val="en-AU"/>
        </w:rPr>
      </w:pPr>
      <w:r w:rsidRPr="00C62766">
        <w:rPr>
          <w:lang w:val="en-AU"/>
        </w:rPr>
        <w:t>AFI recommends the prohibition of restrain and seclusion of children, in line with recommendations from the federal peak body,</w:t>
      </w:r>
      <w:r w:rsidRPr="00C62766" w:rsidR="00C62766">
        <w:rPr>
          <w:vertAlign w:val="superscript"/>
          <w:lang w:val="en-AU"/>
        </w:rPr>
        <w:footnoteReference w:id="11"/>
      </w:r>
      <w:r w:rsidRPr="00C62766">
        <w:rPr>
          <w:lang w:val="en-AU"/>
        </w:rPr>
        <w:t xml:space="preserve"> Children and Young People with Disability Australia (CYDA). CYDA reports their members experiences of restrictive practices are most profound within the education </w:t>
      </w:r>
      <w:r w:rsidRPr="00C62766" w:rsidR="5D6ADD08">
        <w:rPr>
          <w:lang w:val="en-AU"/>
        </w:rPr>
        <w:t>system,</w:t>
      </w:r>
      <w:r w:rsidRPr="00C62766">
        <w:rPr>
          <w:lang w:val="en-AU"/>
        </w:rPr>
        <w:t xml:space="preserve"> noting that these practices cause ‘trauma and harm’ to students with disability.</w:t>
      </w:r>
      <w:r w:rsidRPr="00C62766" w:rsidR="00C62766">
        <w:rPr>
          <w:vertAlign w:val="superscript"/>
          <w:lang w:val="en-AU"/>
        </w:rPr>
        <w:footnoteReference w:id="12"/>
      </w:r>
      <w:r w:rsidRPr="00C62766">
        <w:rPr>
          <w:lang w:val="en-AU"/>
        </w:rPr>
        <w:t xml:space="preserve"> The use of restraint or seclusion violates a child’s fundamental right to bodily autonomy and integrity and potentially violates the child’s right to an inclusive education, and to have equal access to education.</w:t>
      </w:r>
      <w:r w:rsidRPr="00C62766" w:rsidR="00C62766">
        <w:rPr>
          <w:vertAlign w:val="superscript"/>
          <w:lang w:val="en-AU"/>
        </w:rPr>
        <w:footnoteReference w:id="13"/>
      </w:r>
      <w:r w:rsidRPr="00C62766">
        <w:rPr>
          <w:lang w:val="en-AU"/>
        </w:rPr>
        <w:t xml:space="preserve"> Restraining or secluding a </w:t>
      </w:r>
      <w:bookmarkStart w:name="_Int_LE98Avrx" w:id="0"/>
      <w:r w:rsidRPr="00C62766">
        <w:rPr>
          <w:lang w:val="en-AU"/>
        </w:rPr>
        <w:t>child risks</w:t>
      </w:r>
      <w:bookmarkEnd w:id="0"/>
      <w:r w:rsidRPr="00C62766">
        <w:rPr>
          <w:lang w:val="en-AU"/>
        </w:rPr>
        <w:t xml:space="preserve"> inflicting deep trauma, physical harm and has on occasion resulted in the death of a child.</w:t>
      </w:r>
      <w:r w:rsidRPr="00C62766" w:rsidR="00C62766">
        <w:rPr>
          <w:vertAlign w:val="superscript"/>
          <w:lang w:val="en-AU"/>
        </w:rPr>
        <w:footnoteReference w:id="14"/>
      </w:r>
      <w:r w:rsidRPr="00C62766">
        <w:rPr>
          <w:lang w:val="en-AU"/>
        </w:rPr>
        <w:t xml:space="preserve">  Further, a review of research on restrain</w:t>
      </w:r>
      <w:r w:rsidRPr="00C62766" w:rsidR="5062F3D9">
        <w:rPr>
          <w:lang w:val="en-AU"/>
        </w:rPr>
        <w:t>t</w:t>
      </w:r>
      <w:r w:rsidRPr="00C62766">
        <w:rPr>
          <w:lang w:val="en-AU"/>
        </w:rPr>
        <w:t xml:space="preserve"> and seclusion in schools</w:t>
      </w:r>
      <w:r w:rsidRPr="00C62766" w:rsidR="00C62766">
        <w:rPr>
          <w:vertAlign w:val="superscript"/>
          <w:lang w:val="en-AU"/>
        </w:rPr>
        <w:footnoteReference w:id="15"/>
      </w:r>
      <w:r w:rsidRPr="00C62766">
        <w:rPr>
          <w:lang w:val="en-AU"/>
        </w:rPr>
        <w:t xml:space="preserve"> indicates </w:t>
      </w:r>
      <w:r w:rsidRPr="00C62766" w:rsidR="1C42C8B1">
        <w:rPr>
          <w:lang w:val="en-AU"/>
        </w:rPr>
        <w:t>that such practices</w:t>
      </w:r>
      <w:r w:rsidRPr="00C62766">
        <w:rPr>
          <w:lang w:val="en-AU"/>
        </w:rPr>
        <w:t xml:space="preserve"> are being used to coerce or discipline students, out of convenience or as a means of retaliation. </w:t>
      </w:r>
    </w:p>
    <w:p w:rsidRPr="00C62766" w:rsidR="00C62766" w:rsidP="00C62766" w:rsidRDefault="00C62766" w14:paraId="33E21A36" w14:textId="77777777">
      <w:pPr>
        <w:rPr>
          <w:lang w:val="en-AU"/>
        </w:rPr>
      </w:pPr>
    </w:p>
    <w:p w:rsidRPr="00C62766" w:rsidR="00C62766" w:rsidP="00C62766" w:rsidRDefault="00C62766" w14:paraId="04146B8D" w14:textId="125072C0">
      <w:pPr>
        <w:rPr>
          <w:lang w:val="en-AU"/>
        </w:rPr>
      </w:pPr>
      <w:r w:rsidRPr="00C62766">
        <w:rPr>
          <w:lang w:val="en-AU"/>
        </w:rPr>
        <w:t xml:space="preserve">Non-consensual or coercive sterilisation, menstrual suppression, contraception and abortion. Decisions to engage in these medical interventions must be made with the consent of the individual, using a supported </w:t>
      </w:r>
      <w:r w:rsidRPr="00C62766" w:rsidR="00E94C48">
        <w:rPr>
          <w:lang w:val="en-AU"/>
        </w:rPr>
        <w:t>decision-making</w:t>
      </w:r>
      <w:r w:rsidRPr="00C62766">
        <w:rPr>
          <w:lang w:val="en-AU"/>
        </w:rPr>
        <w:t xml:space="preserve"> framework if necessary. </w:t>
      </w:r>
    </w:p>
    <w:p w:rsidRPr="00C62766" w:rsidR="00C62766" w:rsidP="00C62766" w:rsidRDefault="00C62766" w14:paraId="1E6EC336" w14:textId="77777777">
      <w:pPr>
        <w:rPr>
          <w:lang w:val="en-AU"/>
        </w:rPr>
      </w:pPr>
    </w:p>
    <w:p w:rsidR="00C62766" w:rsidP="00C62766" w:rsidRDefault="0A37D8A2" w14:paraId="1A43B0EE" w14:textId="675C9B8A">
      <w:pPr>
        <w:pStyle w:val="ListParagraph"/>
        <w:numPr>
          <w:ilvl w:val="0"/>
          <w:numId w:val="2"/>
        </w:numPr>
        <w:rPr>
          <w:lang w:val="en-AU"/>
        </w:rPr>
      </w:pPr>
      <w:r w:rsidRPr="00C62766">
        <w:rPr>
          <w:lang w:val="en-AU"/>
        </w:rPr>
        <w:t>AFI endorses the recommendation from Women with Disabilities Australia (WWDA), in response to the Disability Royal Commission ‘Restrictive Practices’ issues paper.</w:t>
      </w:r>
      <w:r w:rsidRPr="00C62766" w:rsidR="00C62766">
        <w:rPr>
          <w:vertAlign w:val="superscript"/>
          <w:lang w:val="en-AU"/>
        </w:rPr>
        <w:footnoteReference w:id="16"/>
      </w:r>
      <w:r w:rsidRPr="00C62766">
        <w:rPr>
          <w:lang w:val="en-AU"/>
        </w:rPr>
        <w:t xml:space="preserve"> Use of restrictive practices on women and girls with disability is “a form of gendered ableist violence … restrictive practices violate, harm, dehumanise and segregate women and girls.”</w:t>
      </w:r>
      <w:r w:rsidRPr="00C62766" w:rsidR="00C62766">
        <w:rPr>
          <w:vertAlign w:val="superscript"/>
          <w:lang w:val="en-AU"/>
        </w:rPr>
        <w:footnoteReference w:id="17"/>
      </w:r>
      <w:r w:rsidRPr="00C62766">
        <w:rPr>
          <w:lang w:val="en-AU"/>
        </w:rPr>
        <w:t xml:space="preserve"> In their submission WWDA highlight that th</w:t>
      </w:r>
      <w:r w:rsidRPr="00C62766" w:rsidR="130E83E6">
        <w:rPr>
          <w:lang w:val="en-AU"/>
        </w:rPr>
        <w:t>ese</w:t>
      </w:r>
      <w:r w:rsidRPr="00C62766">
        <w:rPr>
          <w:lang w:val="en-AU"/>
        </w:rPr>
        <w:t xml:space="preserve"> particular restrictive practice</w:t>
      </w:r>
      <w:r w:rsidRPr="00C62766" w:rsidR="5BE3BD56">
        <w:rPr>
          <w:lang w:val="en-AU"/>
        </w:rPr>
        <w:t>s</w:t>
      </w:r>
      <w:r w:rsidRPr="00C62766">
        <w:rPr>
          <w:lang w:val="en-AU"/>
        </w:rPr>
        <w:t xml:space="preserve"> are used on women and girls with disability for organisation</w:t>
      </w:r>
      <w:r w:rsidRPr="00C62766" w:rsidR="49F6A256">
        <w:rPr>
          <w:lang w:val="en-AU"/>
        </w:rPr>
        <w:t>al</w:t>
      </w:r>
      <w:r w:rsidRPr="00C62766">
        <w:rPr>
          <w:lang w:val="en-AU"/>
        </w:rPr>
        <w:t xml:space="preserve"> reasons or convenience. For </w:t>
      </w:r>
      <w:r w:rsidRPr="00C62766" w:rsidR="5D6ADD08">
        <w:rPr>
          <w:lang w:val="en-AU"/>
        </w:rPr>
        <w:t>example,</w:t>
      </w:r>
      <w:r w:rsidRPr="00C62766">
        <w:rPr>
          <w:lang w:val="en-AU"/>
        </w:rPr>
        <w:t xml:space="preserve"> </w:t>
      </w:r>
      <w:r w:rsidRPr="00C62766" w:rsidR="2CF02782">
        <w:rPr>
          <w:lang w:val="en-AU"/>
        </w:rPr>
        <w:t xml:space="preserve">the </w:t>
      </w:r>
      <w:r w:rsidRPr="00C62766">
        <w:rPr>
          <w:lang w:val="en-AU"/>
        </w:rPr>
        <w:t>use</w:t>
      </w:r>
      <w:r w:rsidRPr="00C62766" w:rsidR="68CC906C">
        <w:rPr>
          <w:lang w:val="en-AU"/>
        </w:rPr>
        <w:t xml:space="preserve"> of</w:t>
      </w:r>
      <w:r w:rsidRPr="00C62766">
        <w:rPr>
          <w:lang w:val="en-AU"/>
        </w:rPr>
        <w:t xml:space="preserve"> contraception or sterilisation to negate the need to provide sexual education, giving menstrual suppression to avoid having to deal with additional hygiene needs.</w:t>
      </w:r>
      <w:r w:rsidRPr="00C62766" w:rsidR="00C62766">
        <w:rPr>
          <w:vertAlign w:val="superscript"/>
          <w:lang w:val="en-AU"/>
        </w:rPr>
        <w:footnoteReference w:id="18"/>
      </w:r>
      <w:r w:rsidRPr="00C62766">
        <w:rPr>
          <w:lang w:val="en-AU"/>
        </w:rPr>
        <w:t xml:space="preserve"> The practices above are serious medical interventions uniquely applied to women and girls with disability without their consent. AFI is calling for this practice to be prohibited in the ACT. </w:t>
      </w:r>
    </w:p>
    <w:p w:rsidRPr="00C62766" w:rsidR="003A565D" w:rsidP="003A565D" w:rsidRDefault="003A565D" w14:paraId="66A7565F" w14:textId="77777777">
      <w:pPr>
        <w:pStyle w:val="ListParagraph"/>
        <w:rPr>
          <w:lang w:val="en-AU"/>
        </w:rPr>
      </w:pPr>
    </w:p>
    <w:p w:rsidR="00DD4739" w:rsidP="00C62766" w:rsidRDefault="00AF2CB6" w14:paraId="093A6C80" w14:textId="6269C9A2">
      <w:pPr>
        <w:rPr>
          <w:lang w:val="en-AU"/>
        </w:rPr>
      </w:pPr>
      <w:r w:rsidRPr="0F8319A6">
        <w:rPr>
          <w:lang w:val="en-AU"/>
        </w:rPr>
        <w:t xml:space="preserve">Removal of the right to </w:t>
      </w:r>
      <w:r w:rsidRPr="0F8319A6" w:rsidR="002E7BC9">
        <w:rPr>
          <w:lang w:val="en-AU"/>
        </w:rPr>
        <w:t>communicate</w:t>
      </w:r>
      <w:r w:rsidRPr="0F8319A6" w:rsidR="00DD4739">
        <w:rPr>
          <w:lang w:val="en-AU"/>
        </w:rPr>
        <w:t xml:space="preserve"> by removing peoples access to phones, </w:t>
      </w:r>
      <w:r w:rsidRPr="0F8319A6" w:rsidR="009C3892">
        <w:rPr>
          <w:lang w:val="en-AU"/>
        </w:rPr>
        <w:t xml:space="preserve">mobile communication </w:t>
      </w:r>
      <w:r w:rsidRPr="0F8319A6" w:rsidR="00E94C48">
        <w:rPr>
          <w:lang w:val="en-AU"/>
        </w:rPr>
        <w:t>devices communications</w:t>
      </w:r>
      <w:r w:rsidRPr="0F8319A6" w:rsidR="00DD4739">
        <w:rPr>
          <w:lang w:val="en-AU"/>
        </w:rPr>
        <w:t xml:space="preserve"> media</w:t>
      </w:r>
      <w:r w:rsidRPr="0F8319A6" w:rsidR="0A364B82">
        <w:rPr>
          <w:lang w:val="en-AU"/>
        </w:rPr>
        <w:t>, or augmentative and alternative communicative (AAC) devices.</w:t>
      </w:r>
    </w:p>
    <w:p w:rsidR="00C62766" w:rsidP="00DD4739" w:rsidRDefault="00DD4739" w14:paraId="7244A7E4" w14:textId="2332B919">
      <w:pPr>
        <w:pStyle w:val="ListParagraph"/>
        <w:numPr>
          <w:ilvl w:val="0"/>
          <w:numId w:val="6"/>
        </w:numPr>
        <w:rPr>
          <w:lang w:val="en-AU"/>
        </w:rPr>
      </w:pPr>
      <w:r w:rsidRPr="0F8319A6">
        <w:rPr>
          <w:lang w:val="en-AU"/>
        </w:rPr>
        <w:t xml:space="preserve">AFI notes that the removal of devices can represent a form of disconnection from family, financial </w:t>
      </w:r>
      <w:r w:rsidRPr="0F8319A6" w:rsidR="00E370A5">
        <w:rPr>
          <w:lang w:val="en-AU"/>
        </w:rPr>
        <w:t>control</w:t>
      </w:r>
      <w:r w:rsidRPr="0F8319A6" w:rsidR="00E1776B">
        <w:rPr>
          <w:lang w:val="en-AU"/>
        </w:rPr>
        <w:t xml:space="preserve">, navigation and spatial awareness </w:t>
      </w:r>
      <w:r w:rsidRPr="0F8319A6">
        <w:rPr>
          <w:lang w:val="en-AU"/>
        </w:rPr>
        <w:t>and connection with social networks</w:t>
      </w:r>
      <w:r w:rsidRPr="0F8319A6" w:rsidR="00E370A5">
        <w:rPr>
          <w:lang w:val="en-AU"/>
        </w:rPr>
        <w:t xml:space="preserve">, </w:t>
      </w:r>
      <w:r w:rsidRPr="0F8319A6">
        <w:rPr>
          <w:lang w:val="en-AU"/>
        </w:rPr>
        <w:t>health informatio</w:t>
      </w:r>
      <w:r w:rsidRPr="0F8319A6" w:rsidR="00E370A5">
        <w:rPr>
          <w:lang w:val="en-AU"/>
        </w:rPr>
        <w:t xml:space="preserve">n, </w:t>
      </w:r>
      <w:r w:rsidRPr="0F8319A6" w:rsidR="003F1BD9">
        <w:rPr>
          <w:lang w:val="en-AU"/>
        </w:rPr>
        <w:t>justice,</w:t>
      </w:r>
      <w:r w:rsidRPr="0F8319A6" w:rsidR="00E370A5">
        <w:rPr>
          <w:lang w:val="en-AU"/>
        </w:rPr>
        <w:t xml:space="preserve"> and other formal and informal supports</w:t>
      </w:r>
      <w:r w:rsidRPr="0F8319A6" w:rsidR="00201EE8">
        <w:rPr>
          <w:lang w:val="en-AU"/>
        </w:rPr>
        <w:t>.  It is an increasingly consequential and punitive form of restraint</w:t>
      </w:r>
      <w:r w:rsidRPr="0F8319A6" w:rsidR="00EE1328">
        <w:rPr>
          <w:lang w:val="en-AU"/>
        </w:rPr>
        <w:t xml:space="preserve"> which </w:t>
      </w:r>
      <w:r w:rsidRPr="0F8319A6" w:rsidR="00684662">
        <w:rPr>
          <w:lang w:val="en-AU"/>
        </w:rPr>
        <w:t xml:space="preserve">links to </w:t>
      </w:r>
      <w:r w:rsidRPr="0F8319A6" w:rsidR="00E370A5">
        <w:rPr>
          <w:lang w:val="en-AU"/>
        </w:rPr>
        <w:t xml:space="preserve">the </w:t>
      </w:r>
      <w:r w:rsidRPr="0F8319A6" w:rsidR="00684662">
        <w:rPr>
          <w:lang w:val="en-AU"/>
        </w:rPr>
        <w:t>other forms of restraint</w:t>
      </w:r>
      <w:r w:rsidRPr="0F8319A6" w:rsidR="00A31662">
        <w:rPr>
          <w:lang w:val="en-AU"/>
        </w:rPr>
        <w:t xml:space="preserve">.  </w:t>
      </w:r>
      <w:r w:rsidRPr="0F8319A6" w:rsidR="00646039">
        <w:rPr>
          <w:lang w:val="en-AU"/>
        </w:rPr>
        <w:t>AFI notes that there are different considerations between care and education settings</w:t>
      </w:r>
      <w:r w:rsidRPr="0F8319A6" w:rsidR="00153D00">
        <w:rPr>
          <w:lang w:val="en-AU"/>
        </w:rPr>
        <w:t xml:space="preserve"> in respect of devices</w:t>
      </w:r>
      <w:r w:rsidRPr="0F8319A6" w:rsidR="00646039">
        <w:rPr>
          <w:lang w:val="en-AU"/>
        </w:rPr>
        <w:t xml:space="preserve">.  </w:t>
      </w:r>
    </w:p>
    <w:p w:rsidR="00527E9D" w:rsidP="00527E9D" w:rsidRDefault="00AB230C" w14:paraId="27C98697" w14:textId="37FD385E">
      <w:pPr>
        <w:rPr>
          <w:lang w:val="en-AU"/>
        </w:rPr>
      </w:pPr>
      <w:r w:rsidRPr="003A3797">
        <w:rPr>
          <w:rFonts w:cs="Times New Roman"/>
          <w:noProof/>
          <w:u w:val="single"/>
        </w:rPr>
        <mc:AlternateContent>
          <mc:Choice Requires="wps">
            <w:drawing>
              <wp:anchor distT="0" distB="0" distL="114300" distR="114300" simplePos="0" relativeHeight="251658241" behindDoc="1" locked="0" layoutInCell="0" allowOverlap="1" wp14:anchorId="086835B6" wp14:editId="20E13D25">
                <wp:simplePos x="0" y="0"/>
                <wp:positionH relativeFrom="margin">
                  <wp:posOffset>0</wp:posOffset>
                </wp:positionH>
                <wp:positionV relativeFrom="margin">
                  <wp:posOffset>3916045</wp:posOffset>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Pr="00AB230C" w:rsidR="00AB230C" w:rsidP="006375AB" w:rsidRDefault="00AB230C" w14:paraId="45810873" w14:textId="7BB31A46">
                            <w:pPr>
                              <w:rPr>
                                <w:rFonts w:ascii="Calibri" w:hAnsi="Calibri" w:cs="Calibri"/>
                                <w:color w:val="C0C0C0"/>
                                <w:sz w:val="72"/>
                                <w:szCs w:val="72"/>
                                <w:lang w:val="en-AU"/>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5" style="position:absolute;margin-left:0;margin-top:308.35pt;width:412.4pt;height:247.4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" w14:anchorId="086835B6">
                <v:stroke joinstyle="round"/>
                <o:lock v:ext="edit" shapetype="t"/>
                <v:textbox style="mso-fit-shape-to-text:t">
                  <w:txbxContent>
                    <w:p w:rsidRPr="00AB230C" w:rsidR="00AB230C" w:rsidP="006375AB" w:rsidRDefault="00AB230C" w14:paraId="45810873" w14:textId="7BB31A46">
                      <w:pPr>
                        <w:rPr>
                          <w:rFonts w:ascii="Calibri" w:hAnsi="Calibri" w:cs="Calibri"/>
                          <w:color w:val="C0C0C0"/>
                          <w:sz w:val="72"/>
                          <w:szCs w:val="72"/>
                          <w:lang w:val="en-AU"/>
                          <w14:textFill>
                            <w14:solidFill>
                              <w14:srgbClr w14:val="C0C0C0">
                                <w14:alpha w14:val="50000"/>
                              </w14:srgbClr>
                            </w14:solidFill>
                          </w14:textFill>
                        </w:rPr>
                      </w:pPr>
                    </w:p>
                  </w:txbxContent>
                </v:textbox>
                <w10:wrap anchorx="margin" anchory="margin"/>
              </v:shape>
            </w:pict>
          </mc:Fallback>
        </mc:AlternateContent>
      </w:r>
    </w:p>
    <w:p w:rsidRPr="00527E9D" w:rsidR="00527E9D" w:rsidP="00527E9D" w:rsidRDefault="00527E9D" w14:paraId="758A0182" w14:textId="4EAAFB98">
      <w:pPr>
        <w:rPr>
          <w:b/>
          <w:bCs/>
          <w:lang w:val="en-AU"/>
        </w:rPr>
      </w:pPr>
      <w:r w:rsidRPr="0F8319A6">
        <w:rPr>
          <w:lang w:val="en-AU"/>
        </w:rPr>
        <w:t xml:space="preserve">Practices related to degradation or vilification </w:t>
      </w:r>
      <w:r w:rsidRPr="0F8319A6">
        <w:rPr>
          <w:b/>
          <w:bCs/>
          <w:lang w:val="en-AU"/>
        </w:rPr>
        <w:t xml:space="preserve">or </w:t>
      </w:r>
      <w:r w:rsidRPr="0F8319A6" w:rsidR="00E94C48">
        <w:rPr>
          <w:b/>
          <w:bCs/>
          <w:lang w:val="en-AU"/>
        </w:rPr>
        <w:t>humiliation.</w:t>
      </w:r>
      <w:r w:rsidRPr="0F8319A6">
        <w:rPr>
          <w:b/>
          <w:bCs/>
          <w:lang w:val="en-AU"/>
        </w:rPr>
        <w:t> </w:t>
      </w:r>
    </w:p>
    <w:p w:rsidR="00AF2CB6" w:rsidP="00C62766" w:rsidRDefault="003A1D3C" w14:paraId="2CD3E5DE" w14:textId="4FF99C28">
      <w:pPr>
        <w:rPr>
          <w:lang w:val="en-AU"/>
        </w:rPr>
      </w:pPr>
      <w:r w:rsidRPr="5A513947">
        <w:rPr>
          <w:lang w:val="en-AU"/>
        </w:rPr>
        <w:t>For the avoida</w:t>
      </w:r>
      <w:r w:rsidRPr="5A513947" w:rsidR="5C7499F9">
        <w:rPr>
          <w:lang w:val="en-AU"/>
        </w:rPr>
        <w:t>nce</w:t>
      </w:r>
      <w:r w:rsidRPr="5A513947">
        <w:rPr>
          <w:lang w:val="en-AU"/>
        </w:rPr>
        <w:t xml:space="preserve"> of doubt</w:t>
      </w:r>
      <w:r w:rsidRPr="5A513947" w:rsidR="442AF1C3">
        <w:rPr>
          <w:lang w:val="en-AU"/>
        </w:rPr>
        <w:t>,</w:t>
      </w:r>
      <w:r w:rsidRPr="5A513947" w:rsidR="00B62FFC">
        <w:rPr>
          <w:lang w:val="en-AU"/>
        </w:rPr>
        <w:t xml:space="preserve"> we suggest</w:t>
      </w:r>
      <w:r w:rsidRPr="5A513947">
        <w:rPr>
          <w:lang w:val="en-AU"/>
        </w:rPr>
        <w:t xml:space="preserve"> </w:t>
      </w:r>
      <w:r w:rsidRPr="5A513947" w:rsidR="00597D1E">
        <w:rPr>
          <w:lang w:val="en-AU"/>
        </w:rPr>
        <w:t>‘</w:t>
      </w:r>
      <w:r w:rsidRPr="5A513947" w:rsidR="00527E9D">
        <w:rPr>
          <w:lang w:val="en-AU"/>
        </w:rPr>
        <w:t>Humiliation</w:t>
      </w:r>
      <w:r w:rsidRPr="5A513947" w:rsidR="00597D1E">
        <w:rPr>
          <w:lang w:val="en-AU"/>
        </w:rPr>
        <w:t>’</w:t>
      </w:r>
      <w:r w:rsidRPr="5A513947">
        <w:rPr>
          <w:lang w:val="en-AU"/>
        </w:rPr>
        <w:t xml:space="preserve"> be covered in this section to provide for practices which viewed in isolation might not be seen as degrading or vilifying but are when viewed in context.  For </w:t>
      </w:r>
      <w:r w:rsidRPr="5A513947" w:rsidR="00E94C48">
        <w:rPr>
          <w:lang w:val="en-AU"/>
        </w:rPr>
        <w:t>instance,</w:t>
      </w:r>
      <w:r w:rsidRPr="5A513947" w:rsidR="006F1BE9">
        <w:rPr>
          <w:lang w:val="en-AU"/>
        </w:rPr>
        <w:t xml:space="preserve"> </w:t>
      </w:r>
      <w:r w:rsidRPr="5A513947" w:rsidR="00DC319D">
        <w:rPr>
          <w:lang w:val="en-AU"/>
        </w:rPr>
        <w:t xml:space="preserve">singling </w:t>
      </w:r>
      <w:r w:rsidRPr="5A513947" w:rsidR="00AA03A9">
        <w:rPr>
          <w:lang w:val="en-AU"/>
        </w:rPr>
        <w:t>people</w:t>
      </w:r>
      <w:r w:rsidRPr="5A513947" w:rsidR="383CDE78">
        <w:rPr>
          <w:lang w:val="en-AU"/>
        </w:rPr>
        <w:t xml:space="preserve"> out</w:t>
      </w:r>
      <w:r w:rsidRPr="5A513947" w:rsidR="00AA03A9">
        <w:rPr>
          <w:lang w:val="en-AU"/>
        </w:rPr>
        <w:t xml:space="preserve"> for punishment in front of peers or requiring people to wear specific items of clothing</w:t>
      </w:r>
      <w:r w:rsidRPr="5A513947" w:rsidR="002754F3">
        <w:rPr>
          <w:lang w:val="en-AU"/>
        </w:rPr>
        <w:t xml:space="preserve"> because of an inherent characteristic</w:t>
      </w:r>
      <w:r w:rsidRPr="5A513947" w:rsidR="00AA03A9">
        <w:rPr>
          <w:lang w:val="en-AU"/>
        </w:rPr>
        <w:t xml:space="preserve">.  </w:t>
      </w:r>
    </w:p>
    <w:p w:rsidRPr="00A448BA" w:rsidR="002E7BC9" w:rsidP="00C62766" w:rsidRDefault="002E7BC9" w14:paraId="31347B08" w14:textId="2A75F58F">
      <w:pPr>
        <w:rPr>
          <w:u w:val="single"/>
          <w:lang w:val="en-AU"/>
        </w:rPr>
      </w:pPr>
      <w:r w:rsidRPr="00A448BA">
        <w:rPr>
          <w:u w:val="single"/>
          <w:lang w:val="en-AU"/>
        </w:rPr>
        <w:t>Recommendations</w:t>
      </w:r>
      <w:r w:rsidR="00A448BA">
        <w:rPr>
          <w:u w:val="single"/>
          <w:lang w:val="en-AU"/>
        </w:rPr>
        <w:t>:</w:t>
      </w:r>
    </w:p>
    <w:p w:rsidRPr="002E7BC9" w:rsidR="002E7BC9" w:rsidP="0F8319A6" w:rsidRDefault="77040646" w14:paraId="2148BCA0" w14:textId="2879B574">
      <w:pPr>
        <w:pStyle w:val="ListParagraph"/>
        <w:numPr>
          <w:ilvl w:val="0"/>
          <w:numId w:val="4"/>
        </w:numPr>
        <w:rPr>
          <w:lang w:val="en-AU"/>
        </w:rPr>
      </w:pPr>
      <w:r w:rsidRPr="743D41FC">
        <w:rPr>
          <w:lang w:val="en-AU"/>
        </w:rPr>
        <w:t xml:space="preserve">AFI recommends </w:t>
      </w:r>
      <w:r w:rsidRPr="743D41FC" w:rsidR="56A4029A">
        <w:rPr>
          <w:lang w:val="en-AU"/>
        </w:rPr>
        <w:t>t</w:t>
      </w:r>
      <w:r w:rsidRPr="743D41FC" w:rsidR="002E7BC9">
        <w:rPr>
          <w:lang w:val="en-AU"/>
        </w:rPr>
        <w:t xml:space="preserve">hat the following be added to the </w:t>
      </w:r>
      <w:r w:rsidRPr="743D41FC" w:rsidR="00201EE8">
        <w:rPr>
          <w:lang w:val="en-AU"/>
        </w:rPr>
        <w:t>initial</w:t>
      </w:r>
      <w:r w:rsidRPr="743D41FC" w:rsidR="002E7BC9">
        <w:rPr>
          <w:lang w:val="en-AU"/>
        </w:rPr>
        <w:t xml:space="preserve"> </w:t>
      </w:r>
      <w:r w:rsidRPr="743D41FC" w:rsidR="007355A6">
        <w:rPr>
          <w:lang w:val="en-AU"/>
        </w:rPr>
        <w:t>list.</w:t>
      </w:r>
      <w:r w:rsidRPr="743D41FC" w:rsidR="002E7BC9">
        <w:rPr>
          <w:lang w:val="en-AU"/>
        </w:rPr>
        <w:t xml:space="preserve"> </w:t>
      </w:r>
    </w:p>
    <w:p w:rsidR="2600DFCA" w:rsidP="0F8319A6" w:rsidRDefault="2600DFCA" w14:paraId="4C439DDE" w14:textId="2610778B">
      <w:pPr>
        <w:pStyle w:val="ListParagraph"/>
        <w:numPr>
          <w:ilvl w:val="1"/>
          <w:numId w:val="5"/>
        </w:numPr>
        <w:rPr>
          <w:lang w:val="en-AU"/>
        </w:rPr>
      </w:pPr>
      <w:r w:rsidRPr="0F8319A6">
        <w:rPr>
          <w:lang w:val="en-AU"/>
        </w:rPr>
        <w:t>Incentivising and/or disincentivising a behaviour using financial rewards or punishments.</w:t>
      </w:r>
    </w:p>
    <w:p w:rsidR="2600DFCA" w:rsidP="6DA151A1" w:rsidRDefault="2600DFCA" w14:paraId="138C32D8" w14:textId="1D7F6B2E">
      <w:pPr>
        <w:pStyle w:val="ListParagraph"/>
        <w:numPr>
          <w:ilvl w:val="1"/>
          <w:numId w:val="5"/>
        </w:numPr>
        <w:rPr>
          <w:lang w:val="en-AU"/>
        </w:rPr>
      </w:pPr>
      <w:r w:rsidRPr="0F8319A6">
        <w:rPr>
          <w:lang w:val="en-AU"/>
        </w:rPr>
        <w:t>Force-feeding or depriving a child or young person of food.</w:t>
      </w:r>
    </w:p>
    <w:p w:rsidR="63BD0050" w:rsidP="3D06E37D" w:rsidRDefault="61B92800" w14:paraId="269753C7" w14:textId="61568451">
      <w:pPr>
        <w:pStyle w:val="ListParagraph"/>
        <w:numPr>
          <w:ilvl w:val="1"/>
          <w:numId w:val="5"/>
        </w:numPr>
        <w:rPr>
          <w:lang w:val="en-AU"/>
        </w:rPr>
      </w:pPr>
      <w:r w:rsidRPr="0F8319A6">
        <w:rPr>
          <w:lang w:val="en-AU"/>
        </w:rPr>
        <w:t>Restraint and/or seclusion of children and young people</w:t>
      </w:r>
    </w:p>
    <w:p w:rsidR="61B92800" w:rsidP="3BBE825B" w:rsidRDefault="61B92800" w14:paraId="20EA59A9" w14:textId="627B3709">
      <w:pPr>
        <w:pStyle w:val="ListParagraph"/>
        <w:numPr>
          <w:ilvl w:val="1"/>
          <w:numId w:val="5"/>
        </w:numPr>
        <w:rPr>
          <w:lang w:val="en-AU"/>
        </w:rPr>
      </w:pPr>
      <w:r w:rsidRPr="0F8319A6">
        <w:rPr>
          <w:lang w:val="en-AU"/>
        </w:rPr>
        <w:t xml:space="preserve">Non-consensual or coercive sterilisation, menstrual suppression, contraception and abortion. Decisions to engage in these medical interventions must be made with the consent of the individual, using a supported </w:t>
      </w:r>
      <w:r w:rsidRPr="0F8319A6" w:rsidR="00E94C48">
        <w:rPr>
          <w:lang w:val="en-AU"/>
        </w:rPr>
        <w:t>decision-making</w:t>
      </w:r>
      <w:r w:rsidRPr="0F8319A6">
        <w:rPr>
          <w:lang w:val="en-AU"/>
        </w:rPr>
        <w:t xml:space="preserve"> framework if necessary.</w:t>
      </w:r>
    </w:p>
    <w:p w:rsidR="61B92800" w:rsidP="3BBE825B" w:rsidRDefault="646193A4" w14:paraId="28C93DFA" w14:textId="6101B8DD">
      <w:pPr>
        <w:pStyle w:val="ListParagraph"/>
        <w:numPr>
          <w:ilvl w:val="1"/>
          <w:numId w:val="5"/>
        </w:numPr>
        <w:rPr>
          <w:lang w:val="en-AU"/>
        </w:rPr>
      </w:pPr>
      <w:r w:rsidRPr="0F8319A6">
        <w:rPr>
          <w:lang w:val="en-AU"/>
        </w:rPr>
        <w:t xml:space="preserve">Removal of the right to communicate by removing peoples access to phones, </w:t>
      </w:r>
      <w:r w:rsidRPr="0F8319A6" w:rsidR="00E94C48">
        <w:rPr>
          <w:lang w:val="en-AU"/>
        </w:rPr>
        <w:t>devices communications</w:t>
      </w:r>
      <w:r w:rsidRPr="0F8319A6">
        <w:rPr>
          <w:lang w:val="en-AU"/>
        </w:rPr>
        <w:t xml:space="preserve"> media, or augmentative and alternative communicative (AAC) devices.</w:t>
      </w:r>
    </w:p>
    <w:p w:rsidR="00C62766" w:rsidP="0F8319A6" w:rsidRDefault="448CC249" w14:paraId="7A1E3596" w14:textId="23A8BEA7">
      <w:pPr>
        <w:pStyle w:val="ListParagraph"/>
        <w:numPr>
          <w:ilvl w:val="1"/>
          <w:numId w:val="5"/>
        </w:numPr>
        <w:rPr>
          <w:b/>
          <w:bCs/>
          <w:lang w:val="en-AU"/>
        </w:rPr>
      </w:pPr>
      <w:r w:rsidRPr="0F8319A6">
        <w:rPr>
          <w:lang w:val="en-AU"/>
        </w:rPr>
        <w:t>Practices related to degra</w:t>
      </w:r>
      <w:r w:rsidRPr="0F8319A6" w:rsidR="2F0DFE32">
        <w:rPr>
          <w:lang w:val="en-AU"/>
        </w:rPr>
        <w:t>da</w:t>
      </w:r>
      <w:r w:rsidRPr="0F8319A6">
        <w:rPr>
          <w:lang w:val="en-AU"/>
        </w:rPr>
        <w:t xml:space="preserve">tion or vilification or </w:t>
      </w:r>
      <w:r w:rsidRPr="0F8319A6" w:rsidR="00E94C48">
        <w:rPr>
          <w:b/>
          <w:bCs/>
          <w:lang w:val="en-AU"/>
        </w:rPr>
        <w:t>humiliation.</w:t>
      </w:r>
    </w:p>
    <w:p w:rsidR="00C62766" w:rsidP="00C62766" w:rsidRDefault="00C62766" w14:paraId="73BA9C19" w14:textId="590357CD">
      <w:pPr>
        <w:rPr>
          <w:lang w:val="en-AU"/>
        </w:rPr>
      </w:pPr>
    </w:p>
    <w:p w:rsidRPr="00C62766" w:rsidR="00C62766" w:rsidP="00C62766" w:rsidRDefault="00C62766" w14:paraId="704C42E3" w14:textId="77777777">
      <w:pPr>
        <w:rPr>
          <w:lang w:val="en-AU"/>
        </w:rPr>
      </w:pPr>
    </w:p>
    <w:p w:rsidRPr="00C62766" w:rsidR="00C62766" w:rsidP="15D4788E" w:rsidRDefault="00C62766" w14:paraId="3BD1834E" w14:textId="378D2F91">
      <w:pPr>
        <w:pStyle w:val="Heading2"/>
        <w:rPr>
          <w:u w:val="single"/>
          <w:lang w:val="en-AU"/>
        </w:rPr>
      </w:pPr>
      <w:r w:rsidRPr="15D4788E">
        <w:rPr>
          <w:lang w:val="en-AU"/>
        </w:rPr>
        <w:t>Penalties for the use of Prohibited Practices</w:t>
      </w:r>
    </w:p>
    <w:p w:rsidRPr="00C62766" w:rsidR="006C670E" w:rsidP="004C0E9D" w:rsidRDefault="004C0E9D" w14:paraId="26B2A3CE" w14:textId="6FA70932">
      <w:pPr>
        <w:pStyle w:val="Heading2"/>
        <w:rPr>
          <w:rFonts w:ascii="D-DIN" w:hAnsi="D-DIN"/>
        </w:rPr>
      </w:pPr>
      <w:r w:rsidRPr="00C62766">
        <w:rPr>
          <w:rFonts w:ascii="D-DIN" w:hAnsi="D-DIN"/>
        </w:rPr>
        <w:t xml:space="preserve"> </w:t>
      </w:r>
    </w:p>
    <w:p w:rsidRPr="00E50BE7" w:rsidR="00F802E1" w:rsidP="00C62766" w:rsidRDefault="00C62766" w14:paraId="51339474" w14:textId="62DEBE2F">
      <w:pPr>
        <w:jc w:val="both"/>
        <w:rPr>
          <w:rFonts w:cs="Times New Roman"/>
          <w:i/>
          <w:iCs/>
          <w:szCs w:val="22"/>
        </w:rPr>
      </w:pPr>
      <w:r w:rsidRPr="00C62766">
        <w:rPr>
          <w:rFonts w:cs="Times New Roman"/>
          <w:szCs w:val="22"/>
        </w:rPr>
        <w:t>Strong punitive measures must be in place for using a prohibited practice, or a restrictive practice outside of the scope of the ACT. These must apply to both the individual using them as well as the provider organisation.</w:t>
      </w:r>
      <w:r w:rsidR="00DF497C">
        <w:rPr>
          <w:rFonts w:cs="Times New Roman"/>
          <w:szCs w:val="22"/>
        </w:rPr>
        <w:t xml:space="preserve"> </w:t>
      </w:r>
      <w:r w:rsidR="00F802E1">
        <w:rPr>
          <w:rFonts w:cs="Times New Roman"/>
          <w:szCs w:val="22"/>
        </w:rPr>
        <w:t xml:space="preserve">These </w:t>
      </w:r>
      <w:r w:rsidR="00E46F9B">
        <w:rPr>
          <w:rFonts w:cs="Times New Roman"/>
          <w:szCs w:val="22"/>
        </w:rPr>
        <w:t xml:space="preserve">penalties must correspond with </w:t>
      </w:r>
      <w:r w:rsidR="008C73C3">
        <w:rPr>
          <w:rFonts w:cs="Times New Roman"/>
          <w:szCs w:val="22"/>
        </w:rPr>
        <w:t xml:space="preserve">the severity of the actions which have occurred. </w:t>
      </w:r>
      <w:r w:rsidR="0087606C">
        <w:rPr>
          <w:rFonts w:cs="Times New Roman"/>
          <w:szCs w:val="22"/>
        </w:rPr>
        <w:t xml:space="preserve">Use of restrictive practice violates the human rights of people with disabilities. </w:t>
      </w:r>
      <w:r w:rsidR="00C34D5C">
        <w:rPr>
          <w:rFonts w:cs="Times New Roman"/>
          <w:szCs w:val="22"/>
        </w:rPr>
        <w:t>Penalties under the act must</w:t>
      </w:r>
      <w:r w:rsidR="00197EBC">
        <w:rPr>
          <w:rFonts w:cs="Times New Roman"/>
          <w:szCs w:val="22"/>
        </w:rPr>
        <w:t xml:space="preserve"> be a strong deterrent </w:t>
      </w:r>
      <w:r w:rsidR="00F6270E">
        <w:rPr>
          <w:rFonts w:cs="Times New Roman"/>
          <w:szCs w:val="22"/>
        </w:rPr>
        <w:t xml:space="preserve">for violation of </w:t>
      </w:r>
      <w:r w:rsidR="00E50BE7">
        <w:rPr>
          <w:rFonts w:cs="Times New Roman"/>
          <w:i/>
          <w:iCs/>
          <w:szCs w:val="22"/>
        </w:rPr>
        <w:t xml:space="preserve">The Act </w:t>
      </w:r>
      <w:r w:rsidR="00E50BE7">
        <w:rPr>
          <w:rFonts w:cs="Times New Roman"/>
          <w:szCs w:val="22"/>
        </w:rPr>
        <w:t xml:space="preserve">and prevent future violations of </w:t>
      </w:r>
      <w:r w:rsidR="00E50BE7">
        <w:rPr>
          <w:rFonts w:cs="Times New Roman"/>
          <w:i/>
          <w:iCs/>
          <w:szCs w:val="22"/>
        </w:rPr>
        <w:t xml:space="preserve">The Act. </w:t>
      </w:r>
    </w:p>
    <w:p w:rsidRPr="005A466A" w:rsidR="00C62766" w:rsidP="00C62766" w:rsidRDefault="00DF497C" w14:paraId="61F0341A" w14:textId="27476CA0">
      <w:pPr>
        <w:jc w:val="both"/>
        <w:rPr>
          <w:rFonts w:cs="Times New Roman"/>
          <w:szCs w:val="22"/>
        </w:rPr>
      </w:pPr>
      <w:r>
        <w:rPr>
          <w:rFonts w:cs="Times New Roman"/>
          <w:szCs w:val="22"/>
        </w:rPr>
        <w:t>It is the view of AFI that</w:t>
      </w:r>
      <w:r w:rsidR="00450F31">
        <w:rPr>
          <w:rFonts w:cs="Times New Roman"/>
          <w:szCs w:val="22"/>
        </w:rPr>
        <w:t xml:space="preserve"> use of prohibited practice, or restrictive practice outside the </w:t>
      </w:r>
      <w:r w:rsidR="005A466A">
        <w:rPr>
          <w:rFonts w:cs="Times New Roman"/>
          <w:szCs w:val="22"/>
        </w:rPr>
        <w:t xml:space="preserve">scope of the </w:t>
      </w:r>
      <w:r w:rsidR="00E50BE7">
        <w:rPr>
          <w:rFonts w:cs="Times New Roman"/>
          <w:i/>
          <w:iCs/>
          <w:szCs w:val="22"/>
        </w:rPr>
        <w:t>The</w:t>
      </w:r>
      <w:r w:rsidR="005A466A">
        <w:rPr>
          <w:rFonts w:cs="Times New Roman"/>
          <w:i/>
          <w:iCs/>
          <w:szCs w:val="22"/>
        </w:rPr>
        <w:t xml:space="preserve"> Act</w:t>
      </w:r>
      <w:r w:rsidR="00AB3CE0">
        <w:rPr>
          <w:rFonts w:cs="Times New Roman"/>
          <w:i/>
          <w:iCs/>
          <w:szCs w:val="22"/>
        </w:rPr>
        <w:t>,</w:t>
      </w:r>
      <w:r w:rsidR="005A466A">
        <w:rPr>
          <w:rFonts w:cs="Times New Roman"/>
          <w:i/>
          <w:iCs/>
          <w:szCs w:val="22"/>
        </w:rPr>
        <w:t xml:space="preserve"> </w:t>
      </w:r>
      <w:r w:rsidR="000E5E45">
        <w:rPr>
          <w:rFonts w:cs="Times New Roman"/>
          <w:szCs w:val="22"/>
        </w:rPr>
        <w:t>constitute criminal</w:t>
      </w:r>
      <w:r w:rsidR="008F22CE">
        <w:rPr>
          <w:rFonts w:cs="Times New Roman"/>
          <w:szCs w:val="22"/>
        </w:rPr>
        <w:t xml:space="preserve"> </w:t>
      </w:r>
      <w:r w:rsidR="00CE67F1">
        <w:rPr>
          <w:rFonts w:cs="Times New Roman"/>
          <w:szCs w:val="22"/>
        </w:rPr>
        <w:t>assault</w:t>
      </w:r>
      <w:r w:rsidR="009E4279">
        <w:rPr>
          <w:rFonts w:cs="Times New Roman"/>
          <w:szCs w:val="22"/>
        </w:rPr>
        <w:t xml:space="preserve"> and subsequently warrant the same response as if the assault had occurred in a pub</w:t>
      </w:r>
      <w:r w:rsidR="00F802E1">
        <w:rPr>
          <w:rFonts w:cs="Times New Roman"/>
          <w:szCs w:val="22"/>
        </w:rPr>
        <w:t>lic setting</w:t>
      </w:r>
      <w:r w:rsidR="00AB3CE0">
        <w:rPr>
          <w:rFonts w:cs="Times New Roman"/>
          <w:szCs w:val="22"/>
        </w:rPr>
        <w:t>.</w:t>
      </w:r>
      <w:r w:rsidR="000463DC">
        <w:rPr>
          <w:rFonts w:cs="Times New Roman"/>
          <w:szCs w:val="22"/>
        </w:rPr>
        <w:t xml:space="preserve"> </w:t>
      </w:r>
      <w:r w:rsidR="00AB3CE0">
        <w:rPr>
          <w:rFonts w:cs="Times New Roman"/>
          <w:szCs w:val="22"/>
        </w:rPr>
        <w:t>W</w:t>
      </w:r>
      <w:r w:rsidR="000463DC">
        <w:rPr>
          <w:rFonts w:cs="Times New Roman"/>
          <w:szCs w:val="22"/>
        </w:rPr>
        <w:t xml:space="preserve">hile we have not sought legal </w:t>
      </w:r>
      <w:r w:rsidR="00F802E1">
        <w:rPr>
          <w:rFonts w:cs="Times New Roman"/>
          <w:szCs w:val="22"/>
        </w:rPr>
        <w:t>advice,</w:t>
      </w:r>
      <w:r w:rsidR="00B2294E">
        <w:rPr>
          <w:rFonts w:cs="Times New Roman"/>
          <w:szCs w:val="22"/>
        </w:rPr>
        <w:t xml:space="preserve"> we </w:t>
      </w:r>
      <w:r w:rsidR="000437C6">
        <w:rPr>
          <w:rFonts w:cs="Times New Roman"/>
          <w:szCs w:val="22"/>
        </w:rPr>
        <w:t xml:space="preserve">see no reason why use of these </w:t>
      </w:r>
      <w:r w:rsidR="00235083">
        <w:rPr>
          <w:rFonts w:cs="Times New Roman"/>
          <w:szCs w:val="22"/>
        </w:rPr>
        <w:t xml:space="preserve">violent actions should not be considered criminal behaviour and referred to police. </w:t>
      </w:r>
    </w:p>
    <w:p w:rsidRPr="00C62766" w:rsidR="003A565D" w:rsidP="00C62766" w:rsidRDefault="003A565D" w14:paraId="4A7CCB2E" w14:textId="77777777">
      <w:pPr>
        <w:jc w:val="both"/>
        <w:rPr>
          <w:rFonts w:cs="Times New Roman"/>
          <w:szCs w:val="22"/>
        </w:rPr>
      </w:pPr>
    </w:p>
    <w:p w:rsidRPr="00C62766" w:rsidR="00C62766" w:rsidP="5A513947" w:rsidRDefault="00C62766" w14:paraId="570BABAD" w14:textId="577CA6B0">
      <w:pPr>
        <w:jc w:val="both"/>
        <w:rPr>
          <w:rFonts w:cs="Times New Roman"/>
        </w:rPr>
      </w:pPr>
      <w:r w:rsidRPr="5A513947">
        <w:rPr>
          <w:rFonts w:cs="Times New Roman"/>
        </w:rPr>
        <w:t xml:space="preserve">We recommend that these measures include reporting individuals to AHPRA or the oversight body relevant to their practice. </w:t>
      </w:r>
      <w:r w:rsidRPr="5A513947" w:rsidR="005A4700">
        <w:rPr>
          <w:rFonts w:cs="Times New Roman"/>
        </w:rPr>
        <w:t>Specifically,</w:t>
      </w:r>
      <w:r w:rsidRPr="5A513947">
        <w:rPr>
          <w:rFonts w:cs="Times New Roman"/>
        </w:rPr>
        <w:t xml:space="preserve"> that the Senior Practitioner write to AHPRA or </w:t>
      </w:r>
      <w:r w:rsidRPr="5A513947" w:rsidR="45D6D35F">
        <w:rPr>
          <w:rFonts w:cs="Times New Roman"/>
        </w:rPr>
        <w:t xml:space="preserve">an </w:t>
      </w:r>
      <w:r w:rsidRPr="5A513947">
        <w:rPr>
          <w:rFonts w:cs="Times New Roman"/>
        </w:rPr>
        <w:t xml:space="preserve">equivalent body to inform them that the individual has been found to use prohibited or restrictive practices in violation of ACT law – and request that AHPRA list these findings publicly with the details of that </w:t>
      </w:r>
      <w:r w:rsidRPr="5A513947" w:rsidR="003A3797">
        <w:rPr>
          <w:rFonts w:cs="Times New Roman"/>
        </w:rPr>
        <w:t>individual’s</w:t>
      </w:r>
      <w:r w:rsidRPr="5A513947">
        <w:rPr>
          <w:rFonts w:cs="Times New Roman"/>
        </w:rPr>
        <w:t xml:space="preserve"> registration. This allows people with disability, or their family and carers to ensure that their individual providers have not previously been found to use prohibited practices or restrictive practices in violation of ACT law</w:t>
      </w:r>
      <w:r w:rsidRPr="5A513947" w:rsidR="00D76726">
        <w:rPr>
          <w:rFonts w:cs="Times New Roman"/>
        </w:rPr>
        <w:t xml:space="preserve">. </w:t>
      </w:r>
    </w:p>
    <w:p w:rsidRPr="00C62766" w:rsidR="00C62766" w:rsidP="00C62766" w:rsidRDefault="00C62766" w14:paraId="75C5EAB4" w14:textId="77777777">
      <w:pPr>
        <w:jc w:val="both"/>
        <w:rPr>
          <w:rFonts w:cs="Times New Roman"/>
          <w:szCs w:val="22"/>
        </w:rPr>
      </w:pPr>
    </w:p>
    <w:p w:rsidR="00C62766" w:rsidP="0F8319A6" w:rsidRDefault="00C62766" w14:paraId="44C9F9F2" w14:textId="41B19685">
      <w:pPr>
        <w:jc w:val="both"/>
        <w:rPr>
          <w:rFonts w:cs="Times New Roman"/>
        </w:rPr>
      </w:pPr>
      <w:r w:rsidRPr="5A513947">
        <w:rPr>
          <w:rFonts w:cs="Times New Roman"/>
        </w:rPr>
        <w:t xml:space="preserve">There must also be strong accountability measures for the management staff of provider organisations where use of prohibited practice occurs. Service provider organisations found to use prohibited practices must have appropriate restrictions placed on their capacity to register positive behaviour support plans.  </w:t>
      </w:r>
      <w:r w:rsidRPr="5A513947" w:rsidR="006E19AB">
        <w:rPr>
          <w:rFonts w:cs="Times New Roman"/>
        </w:rPr>
        <w:t>We recommend detailed record keeping of any findings against service provider agencies</w:t>
      </w:r>
      <w:r w:rsidRPr="5A513947" w:rsidR="007A6D34">
        <w:rPr>
          <w:rFonts w:cs="Times New Roman"/>
        </w:rPr>
        <w:t xml:space="preserve">, and revoking support plans </w:t>
      </w:r>
      <w:r w:rsidRPr="5A513947" w:rsidR="005A4700">
        <w:rPr>
          <w:rFonts w:cs="Times New Roman"/>
        </w:rPr>
        <w:t xml:space="preserve">if providers consistently fail to ensure the safety and human rights of people with disability. </w:t>
      </w:r>
    </w:p>
    <w:p w:rsidR="0051400A" w:rsidP="00C62766" w:rsidRDefault="0051400A" w14:paraId="3C6F0F42" w14:textId="77777777">
      <w:pPr>
        <w:jc w:val="both"/>
        <w:rPr>
          <w:rFonts w:cs="Times New Roman"/>
        </w:rPr>
      </w:pPr>
    </w:p>
    <w:p w:rsidRPr="00A448BA" w:rsidR="593E4346" w:rsidP="65C36F14" w:rsidRDefault="593E4346" w14:paraId="6A03CFCF" w14:textId="3047C2AF">
      <w:pPr>
        <w:jc w:val="both"/>
        <w:rPr>
          <w:rFonts w:cs="Times New Roman"/>
          <w:u w:val="single"/>
        </w:rPr>
      </w:pPr>
      <w:r w:rsidRPr="00A448BA">
        <w:rPr>
          <w:rFonts w:cs="Times New Roman"/>
          <w:u w:val="single"/>
        </w:rPr>
        <w:t>Recommendations:</w:t>
      </w:r>
    </w:p>
    <w:p w:rsidR="5D470036" w:rsidP="5D470036" w:rsidRDefault="5D470036" w14:paraId="47D6FD5A" w14:textId="4E2C4380">
      <w:pPr>
        <w:jc w:val="both"/>
        <w:rPr>
          <w:rFonts w:cs="Times New Roman"/>
        </w:rPr>
      </w:pPr>
    </w:p>
    <w:p w:rsidR="00235083" w:rsidP="0F8319A6" w:rsidRDefault="00235083" w14:paraId="61DFCF8A" w14:textId="050F0DB6">
      <w:pPr>
        <w:pStyle w:val="ListParagraph"/>
        <w:numPr>
          <w:ilvl w:val="0"/>
          <w:numId w:val="4"/>
        </w:numPr>
        <w:jc w:val="both"/>
        <w:rPr>
          <w:rFonts w:cs="Times New Roman"/>
        </w:rPr>
      </w:pPr>
      <w:r>
        <w:rPr>
          <w:rFonts w:cs="Times New Roman"/>
        </w:rPr>
        <w:t xml:space="preserve">AFI recommends </w:t>
      </w:r>
      <w:r w:rsidR="00D13458">
        <w:rPr>
          <w:rFonts w:cs="Times New Roman"/>
        </w:rPr>
        <w:t xml:space="preserve">that use of prohibited practice or restrictive practice outside the scope of the </w:t>
      </w:r>
      <w:r w:rsidR="000B12EC">
        <w:rPr>
          <w:rFonts w:cs="Times New Roman"/>
          <w:i/>
          <w:iCs/>
        </w:rPr>
        <w:t>Senior Practitioner Act</w:t>
      </w:r>
      <w:r w:rsidR="000B12EC">
        <w:rPr>
          <w:rFonts w:cs="Times New Roman"/>
        </w:rPr>
        <w:t xml:space="preserve"> </w:t>
      </w:r>
      <w:r w:rsidR="000E5E45">
        <w:rPr>
          <w:rFonts w:cs="Times New Roman"/>
        </w:rPr>
        <w:t xml:space="preserve">be reported to the police. Especially if these acts are violent in nature or would be commonly considered assault in if they occurred in a public setting. </w:t>
      </w:r>
    </w:p>
    <w:p w:rsidR="5D470036" w:rsidP="0F8319A6" w:rsidRDefault="2B93F0F9" w14:paraId="38C9CE18" w14:textId="4D12B613">
      <w:pPr>
        <w:pStyle w:val="ListParagraph"/>
        <w:numPr>
          <w:ilvl w:val="0"/>
          <w:numId w:val="4"/>
        </w:numPr>
        <w:jc w:val="both"/>
        <w:rPr>
          <w:rFonts w:cs="Times New Roman"/>
        </w:rPr>
      </w:pPr>
      <w:r w:rsidRPr="743D41FC">
        <w:rPr>
          <w:rFonts w:cs="Times New Roman"/>
        </w:rPr>
        <w:t>AFI recommends that t</w:t>
      </w:r>
      <w:r w:rsidRPr="743D41FC" w:rsidR="3EC0D36E">
        <w:rPr>
          <w:rFonts w:cs="Times New Roman"/>
        </w:rPr>
        <w:t>he Senior Practitioner report individuals who use prohibited practi</w:t>
      </w:r>
      <w:r w:rsidRPr="743D41FC" w:rsidR="51E3793A">
        <w:rPr>
          <w:rFonts w:cs="Times New Roman"/>
        </w:rPr>
        <w:t>c</w:t>
      </w:r>
      <w:r w:rsidRPr="743D41FC" w:rsidR="3EC0D36E">
        <w:rPr>
          <w:rFonts w:cs="Times New Roman"/>
        </w:rPr>
        <w:t>es or restricted practices outside the scope of ACT law to AHPRA or their relevant regulatory body</w:t>
      </w:r>
      <w:r w:rsidRPr="743D41FC" w:rsidR="20095877">
        <w:rPr>
          <w:rFonts w:cs="Times New Roman"/>
        </w:rPr>
        <w:t>.</w:t>
      </w:r>
    </w:p>
    <w:p w:rsidR="20095877" w:rsidP="0F8319A6" w:rsidRDefault="20095877" w14:paraId="3F687FA1" w14:textId="01F79E2F">
      <w:pPr>
        <w:pStyle w:val="ListParagraph"/>
        <w:numPr>
          <w:ilvl w:val="1"/>
          <w:numId w:val="4"/>
        </w:numPr>
        <w:jc w:val="both"/>
        <w:rPr>
          <w:rFonts w:cs="Times New Roman"/>
        </w:rPr>
      </w:pPr>
      <w:r w:rsidRPr="743D41FC">
        <w:rPr>
          <w:rFonts w:cs="Times New Roman"/>
        </w:rPr>
        <w:t xml:space="preserve">That in these instances the Senior Practitioner request AHPRA list the findings of the Senior Practitioner </w:t>
      </w:r>
      <w:r w:rsidRPr="743D41FC" w:rsidR="314B7DCF">
        <w:rPr>
          <w:rFonts w:cs="Times New Roman"/>
        </w:rPr>
        <w:t>pu</w:t>
      </w:r>
      <w:r w:rsidRPr="743D41FC" w:rsidR="549D93D6">
        <w:rPr>
          <w:rFonts w:cs="Times New Roman"/>
        </w:rPr>
        <w:t xml:space="preserve">blicly alongside that </w:t>
      </w:r>
      <w:r w:rsidRPr="743D41FC" w:rsidR="003A3797">
        <w:rPr>
          <w:rFonts w:cs="Times New Roman"/>
        </w:rPr>
        <w:t>individual’s</w:t>
      </w:r>
      <w:r w:rsidRPr="743D41FC" w:rsidR="549D93D6">
        <w:rPr>
          <w:rFonts w:cs="Times New Roman"/>
        </w:rPr>
        <w:t xml:space="preserve"> registration </w:t>
      </w:r>
      <w:r w:rsidRPr="743D41FC" w:rsidR="007355A6">
        <w:rPr>
          <w:rFonts w:cs="Times New Roman"/>
        </w:rPr>
        <w:t>details.</w:t>
      </w:r>
    </w:p>
    <w:p w:rsidR="6F733AFF" w:rsidP="0F8319A6" w:rsidRDefault="6C261309" w14:paraId="66C55B46" w14:textId="078805E8">
      <w:pPr>
        <w:pStyle w:val="ListParagraph"/>
        <w:numPr>
          <w:ilvl w:val="0"/>
          <w:numId w:val="4"/>
        </w:numPr>
        <w:jc w:val="both"/>
        <w:rPr>
          <w:rFonts w:cs="Times New Roman"/>
        </w:rPr>
      </w:pPr>
      <w:r w:rsidRPr="743D41FC">
        <w:rPr>
          <w:rFonts w:cs="Times New Roman"/>
        </w:rPr>
        <w:t>AFI recommends that s</w:t>
      </w:r>
      <w:r w:rsidRPr="743D41FC" w:rsidR="419DE1B4">
        <w:rPr>
          <w:rFonts w:cs="Times New Roman"/>
        </w:rPr>
        <w:t>ervice</w:t>
      </w:r>
      <w:r w:rsidRPr="743D41FC" w:rsidR="549D93D6">
        <w:rPr>
          <w:rFonts w:cs="Times New Roman"/>
        </w:rPr>
        <w:t xml:space="preserve"> provider organisations who are found to have used prohibited practi</w:t>
      </w:r>
      <w:r w:rsidRPr="743D41FC" w:rsidR="1A0788FE">
        <w:rPr>
          <w:rFonts w:cs="Times New Roman"/>
        </w:rPr>
        <w:t>c</w:t>
      </w:r>
      <w:r w:rsidRPr="743D41FC" w:rsidR="549D93D6">
        <w:rPr>
          <w:rFonts w:cs="Times New Roman"/>
        </w:rPr>
        <w:t xml:space="preserve">es </w:t>
      </w:r>
      <w:r w:rsidRPr="743D41FC" w:rsidR="45F798BB">
        <w:rPr>
          <w:rFonts w:cs="Times New Roman"/>
        </w:rPr>
        <w:t xml:space="preserve">must have appropriate restrictions placed on their capacity to register positive behaviour support plans. </w:t>
      </w:r>
    </w:p>
    <w:p w:rsidR="36895AF9" w:rsidP="1893D9AA" w:rsidRDefault="36895AF9" w14:paraId="65C0D8AD" w14:textId="2FF3BA6E">
      <w:pPr>
        <w:pStyle w:val="ListParagraph"/>
        <w:numPr>
          <w:ilvl w:val="1"/>
          <w:numId w:val="4"/>
        </w:numPr>
        <w:jc w:val="both"/>
        <w:rPr>
          <w:rFonts w:cs="Times New Roman"/>
        </w:rPr>
      </w:pPr>
      <w:r w:rsidRPr="743D41FC">
        <w:rPr>
          <w:rFonts w:cs="Times New Roman"/>
        </w:rPr>
        <w:t>This must include details</w:t>
      </w:r>
      <w:r w:rsidRPr="743D41FC" w:rsidR="506A2CF4">
        <w:rPr>
          <w:rFonts w:cs="Times New Roman"/>
        </w:rPr>
        <w:t xml:space="preserve"> and</w:t>
      </w:r>
      <w:r w:rsidRPr="743D41FC">
        <w:rPr>
          <w:rFonts w:cs="Times New Roman"/>
        </w:rPr>
        <w:t xml:space="preserve"> record keeping of service providers who violate the </w:t>
      </w:r>
      <w:r w:rsidRPr="743D41FC">
        <w:rPr>
          <w:rFonts w:cs="Times New Roman"/>
          <w:i/>
          <w:iCs/>
        </w:rPr>
        <w:t xml:space="preserve">Senior Practitioner </w:t>
      </w:r>
      <w:r w:rsidRPr="743D41FC">
        <w:rPr>
          <w:rFonts w:cs="Times New Roman"/>
        </w:rPr>
        <w:t>Act or regulations underneath it.</w:t>
      </w:r>
    </w:p>
    <w:p w:rsidR="1893D9AA" w:rsidP="1893D9AA" w:rsidRDefault="1893D9AA" w14:paraId="3081E028" w14:textId="279FEAE5">
      <w:pPr>
        <w:jc w:val="both"/>
        <w:rPr>
          <w:rFonts w:cs="Times New Roman"/>
          <w:u w:val="single"/>
        </w:rPr>
      </w:pPr>
    </w:p>
    <w:p w:rsidR="1893D9AA" w:rsidP="1893D9AA" w:rsidRDefault="1893D9AA" w14:paraId="278CA5D6" w14:textId="6F0DBD36">
      <w:pPr>
        <w:jc w:val="both"/>
        <w:rPr>
          <w:rFonts w:cs="Times New Roman"/>
          <w:u w:val="single"/>
        </w:rPr>
      </w:pPr>
    </w:p>
    <w:p w:rsidR="743D41FC" w:rsidP="743D41FC" w:rsidRDefault="743D41FC" w14:paraId="759E84AA" w14:textId="5D73653E">
      <w:pPr>
        <w:jc w:val="both"/>
        <w:rPr>
          <w:rFonts w:cs="Times New Roman"/>
          <w:u w:val="single"/>
        </w:rPr>
      </w:pPr>
    </w:p>
    <w:tbl>
      <w:tblPr>
        <w:tblStyle w:val="TableGrid"/>
        <w:tblW w:w="0" w:type="auto"/>
        <w:tblLook w:val="04A0" w:firstRow="1" w:lastRow="0" w:firstColumn="1" w:lastColumn="0" w:noHBand="0" w:noVBand="1"/>
      </w:tblPr>
      <w:tblGrid>
        <w:gridCol w:w="9010"/>
      </w:tblGrid>
      <w:tr w:rsidRPr="00A736AF" w:rsidR="007F6507" w:rsidTr="007F6507" w14:paraId="329497E0" w14:textId="77777777">
        <w:tc>
          <w:tcPr>
            <w:tcW w:w="9010" w:type="dxa"/>
          </w:tcPr>
          <w:p w:rsidRPr="00A736AF" w:rsidR="007F6507" w:rsidP="007F6507" w:rsidRDefault="007F6507" w14:paraId="420F34FB" w14:textId="0846C6C4">
            <w:pPr>
              <w:jc w:val="both"/>
              <w:rPr>
                <w:rFonts w:ascii="DIN-Bold" w:hAnsi="DIN-Bold" w:cs="Moon-Bold"/>
                <w:b/>
                <w:bCs/>
                <w:color w:val="034797"/>
                <w:sz w:val="32"/>
                <w:szCs w:val="32"/>
                <w:lang w:val="en-AU"/>
              </w:rPr>
            </w:pPr>
            <w:r w:rsidRPr="0F8319A6">
              <w:rPr>
                <w:rFonts w:ascii="DIN-Bold" w:hAnsi="DIN-Bold" w:cs="Moon-Bold"/>
                <w:b/>
                <w:bCs/>
                <w:color w:val="034797"/>
                <w:sz w:val="32"/>
                <w:szCs w:val="32"/>
                <w:lang w:val="en-AU"/>
              </w:rPr>
              <w:t xml:space="preserve">List of recommendations </w:t>
            </w:r>
          </w:p>
          <w:p w:rsidR="007F6507" w:rsidP="00F823A6" w:rsidRDefault="007F6507" w14:paraId="5C07D65F" w14:textId="77777777">
            <w:pPr>
              <w:pStyle w:val="ListParagraph"/>
              <w:numPr>
                <w:ilvl w:val="0"/>
                <w:numId w:val="8"/>
              </w:numPr>
              <w:rPr>
                <w:lang w:val="en-AU"/>
              </w:rPr>
            </w:pPr>
            <w:r w:rsidRPr="5A513947">
              <w:rPr>
                <w:lang w:val="en-AU"/>
              </w:rPr>
              <w:t>AFI recommends the prohibited practice list be introduced alongside a strong education and awareness campaign to make service providers aware of the consequences of restrictive practices and how they can eliminate usage in their workplace.</w:t>
            </w:r>
          </w:p>
          <w:p w:rsidR="007F6507" w:rsidP="00F823A6" w:rsidRDefault="007F6507" w14:paraId="33B7CFB5" w14:textId="77777777">
            <w:pPr>
              <w:pStyle w:val="ListParagraph"/>
              <w:numPr>
                <w:ilvl w:val="0"/>
                <w:numId w:val="8"/>
              </w:numPr>
              <w:rPr>
                <w:lang w:val="en-AU"/>
              </w:rPr>
            </w:pPr>
            <w:r w:rsidRPr="0F8319A6">
              <w:rPr>
                <w:lang w:val="en-AU"/>
              </w:rPr>
              <w:t xml:space="preserve">AFI recommends the list of prohibited practices by updated and expanded on a regular basis to facilitate </w:t>
            </w:r>
            <w:sdt>
              <w:sdtPr>
                <w:rPr>
                  <w:lang w:val="en-AU"/>
                </w:rPr>
                <w:id w:val="2637460"/>
                <w:docPartObj>
                  <w:docPartGallery w:val="Watermarks"/>
                </w:docPartObj>
              </w:sdtPr>
              <w:sdtContent>
                <w:r w:rsidRPr="003A3797">
                  <w:rPr>
                    <w:noProof/>
                    <w:lang w:val="en-AU"/>
                  </w:rPr>
                  <mc:AlternateContent>
                    <mc:Choice Requires="wps">
                      <w:drawing>
                        <wp:anchor distT="0" distB="0" distL="114300" distR="114300" simplePos="0" relativeHeight="251658242" behindDoc="1" locked="0" layoutInCell="0" allowOverlap="1" wp14:anchorId="4B7F2239" wp14:editId="6750D2B3">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Pr="00AB230C" w:rsidR="007F6507" w:rsidP="007F6507" w:rsidRDefault="007F6507" w14:paraId="07C4B2D1" w14:textId="3822CE80">
                                      <w:pPr>
                                        <w:rPr>
                                          <w:rFonts w:ascii="Calibri" w:hAnsi="Calibri" w:cs="Calibri"/>
                                          <w:color w:val="C0C0C0"/>
                                          <w:sz w:val="72"/>
                                          <w:szCs w:val="72"/>
                                          <w:lang w:val="en-AU"/>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3" style="position:absolute;left:0;text-align:left;margin-left:0;margin-top:0;width:412.4pt;height:247.45pt;rotation:-45;z-index:-25165619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w14:anchorId="4B7F2239">
                          <v:stroke joinstyle="round"/>
                          <o:lock v:ext="edit" shapetype="t"/>
                          <v:textbox style="mso-fit-shape-to-text:t">
                            <w:txbxContent>
                              <w:p w:rsidRPr="00AB230C" w:rsidR="007F6507" w:rsidP="007F6507" w:rsidRDefault="007F6507" w14:paraId="07C4B2D1" w14:textId="3822CE80">
                                <w:pPr>
                                  <w:rPr>
                                    <w:rFonts w:ascii="Calibri" w:hAnsi="Calibri" w:cs="Calibri"/>
                                    <w:color w:val="C0C0C0"/>
                                    <w:sz w:val="72"/>
                                    <w:szCs w:val="72"/>
                                    <w:lang w:val="en-AU"/>
                                    <w14:textFill>
                                      <w14:solidFill>
                                        <w14:srgbClr w14:val="C0C0C0">
                                          <w14:alpha w14:val="50000"/>
                                        </w14:srgbClr>
                                      </w14:solidFill>
                                    </w14:textFill>
                                  </w:rPr>
                                </w:pPr>
                              </w:p>
                            </w:txbxContent>
                          </v:textbox>
                          <w10:wrap anchorx="margin" anchory="margin"/>
                        </v:shape>
                      </w:pict>
                    </mc:Fallback>
                  </mc:AlternateContent>
                </w:r>
              </w:sdtContent>
            </w:sdt>
            <w:r w:rsidRPr="0F8319A6">
              <w:rPr>
                <w:lang w:val="en-AU"/>
              </w:rPr>
              <w:t>the gradual elimination of restrictive practice usage in the ACT.</w:t>
            </w:r>
          </w:p>
          <w:p w:rsidRPr="00DF47C8" w:rsidR="00DF47C8" w:rsidP="00F823A6" w:rsidRDefault="00DF47C8" w14:paraId="5FE51F03" w14:textId="3288EAD9">
            <w:pPr>
              <w:pStyle w:val="ListParagraph"/>
              <w:numPr>
                <w:ilvl w:val="1"/>
                <w:numId w:val="8"/>
              </w:numPr>
              <w:rPr>
                <w:lang w:val="en-AU"/>
              </w:rPr>
            </w:pPr>
            <w:r>
              <w:rPr>
                <w:lang w:val="en-AU"/>
              </w:rPr>
              <w:t>That the list of prohibited practices by reviewed and expanded in light of findings from the Royal Commission into Violence, Abuse, Neglect and Exploitation of People with Disability</w:t>
            </w:r>
          </w:p>
          <w:p w:rsidR="007F6507" w:rsidP="00F823A6" w:rsidRDefault="007F6507" w14:paraId="2DA81A63" w14:textId="77777777">
            <w:pPr>
              <w:pStyle w:val="ListParagraph"/>
              <w:numPr>
                <w:ilvl w:val="0"/>
                <w:numId w:val="8"/>
              </w:numPr>
              <w:rPr>
                <w:lang w:val="en-AU"/>
              </w:rPr>
            </w:pPr>
            <w:r w:rsidRPr="5A513947">
              <w:rPr>
                <w:lang w:val="en-AU"/>
              </w:rPr>
              <w:t>AFI recommends that there is a public commitment to progressive expansion of the list of prohibited practices over time on a regular basis, towards an end goal of eliminating restrictive practices in the ACT.</w:t>
            </w:r>
          </w:p>
          <w:p w:rsidR="007F6507" w:rsidP="00F823A6" w:rsidRDefault="007F6507" w14:paraId="25091452" w14:textId="726D620D">
            <w:pPr>
              <w:pStyle w:val="ListParagraph"/>
              <w:numPr>
                <w:ilvl w:val="0"/>
                <w:numId w:val="8"/>
              </w:numPr>
              <w:rPr>
                <w:lang w:val="en-AU"/>
              </w:rPr>
            </w:pPr>
            <w:r w:rsidRPr="0F8319A6">
              <w:rPr>
                <w:lang w:val="en-AU"/>
              </w:rPr>
              <w:t xml:space="preserve">AFI recommends that the following be added to the initial </w:t>
            </w:r>
            <w:r w:rsidRPr="0F8319A6" w:rsidR="00A736AF">
              <w:rPr>
                <w:lang w:val="en-AU"/>
              </w:rPr>
              <w:t>list.</w:t>
            </w:r>
            <w:r w:rsidRPr="0F8319A6">
              <w:rPr>
                <w:lang w:val="en-AU"/>
              </w:rPr>
              <w:t xml:space="preserve"> </w:t>
            </w:r>
          </w:p>
          <w:p w:rsidR="007F6507" w:rsidP="00F823A6" w:rsidRDefault="007F6507" w14:paraId="685D44C9" w14:textId="77777777">
            <w:pPr>
              <w:pStyle w:val="ListParagraph"/>
              <w:numPr>
                <w:ilvl w:val="1"/>
                <w:numId w:val="8"/>
              </w:numPr>
              <w:rPr>
                <w:lang w:val="en-AU"/>
              </w:rPr>
            </w:pPr>
            <w:r w:rsidRPr="1893D9AA">
              <w:rPr>
                <w:lang w:val="en-AU"/>
              </w:rPr>
              <w:t>Incentivising and/or disincentivising a behaviour using financial rewards or punishments.</w:t>
            </w:r>
          </w:p>
          <w:p w:rsidR="007F6507" w:rsidP="00F823A6" w:rsidRDefault="007F6507" w14:paraId="5D24B94C" w14:textId="77777777">
            <w:pPr>
              <w:pStyle w:val="ListParagraph"/>
              <w:numPr>
                <w:ilvl w:val="1"/>
                <w:numId w:val="8"/>
              </w:numPr>
              <w:rPr>
                <w:lang w:val="en-AU"/>
              </w:rPr>
            </w:pPr>
            <w:r w:rsidRPr="1893D9AA">
              <w:rPr>
                <w:lang w:val="en-AU"/>
              </w:rPr>
              <w:t>Force-feeding or depriving a child or young person of food.</w:t>
            </w:r>
          </w:p>
          <w:p w:rsidR="007F6507" w:rsidP="00F823A6" w:rsidRDefault="007F6507" w14:paraId="64E57020" w14:textId="77777777">
            <w:pPr>
              <w:pStyle w:val="ListParagraph"/>
              <w:numPr>
                <w:ilvl w:val="1"/>
                <w:numId w:val="8"/>
              </w:numPr>
              <w:rPr>
                <w:lang w:val="en-AU"/>
              </w:rPr>
            </w:pPr>
            <w:r w:rsidRPr="1893D9AA">
              <w:rPr>
                <w:lang w:val="en-AU"/>
              </w:rPr>
              <w:t>Restraint and/or seclusion of children and young people</w:t>
            </w:r>
          </w:p>
          <w:p w:rsidR="007F6507" w:rsidP="00F823A6" w:rsidRDefault="007F6507" w14:paraId="510B5B75" w14:textId="04D168DA">
            <w:pPr>
              <w:pStyle w:val="ListParagraph"/>
              <w:numPr>
                <w:ilvl w:val="1"/>
                <w:numId w:val="8"/>
              </w:numPr>
              <w:rPr>
                <w:lang w:val="en-AU"/>
              </w:rPr>
            </w:pPr>
            <w:r w:rsidRPr="1893D9AA">
              <w:rPr>
                <w:lang w:val="en-AU"/>
              </w:rPr>
              <w:t xml:space="preserve">Non-consensual or coercive sterilisation, menstrual suppression, </w:t>
            </w:r>
            <w:r w:rsidRPr="1893D9AA" w:rsidR="00A736AF">
              <w:rPr>
                <w:lang w:val="en-AU"/>
              </w:rPr>
              <w:t>contraception,</w:t>
            </w:r>
            <w:r w:rsidRPr="1893D9AA">
              <w:rPr>
                <w:lang w:val="en-AU"/>
              </w:rPr>
              <w:t xml:space="preserve"> and abortion. Decisions to engage in these medical interventions must be made with the consent of the individual, using a supported decision-making framework if necessary.</w:t>
            </w:r>
          </w:p>
          <w:p w:rsidR="007F6507" w:rsidP="00F823A6" w:rsidRDefault="007F6507" w14:paraId="3BC07D8F" w14:textId="77777777">
            <w:pPr>
              <w:pStyle w:val="ListParagraph"/>
              <w:numPr>
                <w:ilvl w:val="1"/>
                <w:numId w:val="8"/>
              </w:numPr>
              <w:rPr>
                <w:lang w:val="en-AU"/>
              </w:rPr>
            </w:pPr>
            <w:r w:rsidRPr="1893D9AA">
              <w:rPr>
                <w:lang w:val="en-AU"/>
              </w:rPr>
              <w:t>Removal of the right to communicate by removing peoples access to phones, devices communications media, or augmentative and alternative communicative (AAC) devices.</w:t>
            </w:r>
          </w:p>
          <w:p w:rsidRPr="00A736AF" w:rsidR="007F6507" w:rsidP="00A736AF" w:rsidRDefault="007F6507" w14:paraId="7E9B435E" w14:textId="5B94D044">
            <w:pPr>
              <w:pStyle w:val="ListParagraph"/>
              <w:numPr>
                <w:ilvl w:val="1"/>
                <w:numId w:val="8"/>
              </w:numPr>
              <w:rPr>
                <w:b/>
                <w:bCs/>
                <w:lang w:val="en-AU"/>
              </w:rPr>
            </w:pPr>
            <w:r w:rsidRPr="00A736AF">
              <w:rPr>
                <w:lang w:val="en-AU"/>
              </w:rPr>
              <w:t xml:space="preserve">Practices related to degradation or vilification or </w:t>
            </w:r>
            <w:r w:rsidRPr="00A736AF">
              <w:rPr>
                <w:b/>
                <w:bCs/>
                <w:lang w:val="en-AU"/>
              </w:rPr>
              <w:t>humiliation.</w:t>
            </w:r>
          </w:p>
          <w:p w:rsidRPr="00F823A6" w:rsidR="00F823A6" w:rsidP="00F823A6" w:rsidRDefault="00F823A6" w14:paraId="3CD5744A" w14:textId="31DC4C1F">
            <w:pPr>
              <w:pStyle w:val="ListParagraph"/>
              <w:numPr>
                <w:ilvl w:val="0"/>
                <w:numId w:val="8"/>
              </w:numPr>
              <w:jc w:val="both"/>
              <w:rPr>
                <w:rFonts w:cs="Times New Roman"/>
              </w:rPr>
            </w:pPr>
            <w:r>
              <w:rPr>
                <w:rFonts w:cs="Times New Roman"/>
              </w:rPr>
              <w:t xml:space="preserve">AFI recommends that use of prohibited practice or restrictive practice outside the scope of the </w:t>
            </w:r>
            <w:r>
              <w:rPr>
                <w:rFonts w:cs="Times New Roman"/>
                <w:i/>
                <w:iCs/>
              </w:rPr>
              <w:t>Senior Practitioner Act</w:t>
            </w:r>
            <w:r>
              <w:rPr>
                <w:rFonts w:cs="Times New Roman"/>
              </w:rPr>
              <w:t xml:space="preserve"> be reported to the police. Especially if these acts are violent in nature or would be commonly considered assault in if they occurred in a public setting. </w:t>
            </w:r>
          </w:p>
          <w:p w:rsidRPr="00D54987" w:rsidR="00D54987" w:rsidP="00D54987" w:rsidRDefault="00D54987" w14:paraId="4D0B18FE" w14:textId="77777777">
            <w:pPr>
              <w:pStyle w:val="ListParagraph"/>
              <w:ind w:left="1440"/>
              <w:rPr>
                <w:b/>
                <w:bCs/>
                <w:lang w:val="en-AU"/>
              </w:rPr>
            </w:pPr>
          </w:p>
          <w:p w:rsidR="007F6507" w:rsidP="00F823A6" w:rsidRDefault="007F6507" w14:paraId="257460B1" w14:textId="77777777">
            <w:pPr>
              <w:pStyle w:val="ListParagraph"/>
              <w:numPr>
                <w:ilvl w:val="0"/>
                <w:numId w:val="8"/>
              </w:numPr>
              <w:jc w:val="both"/>
              <w:rPr>
                <w:rFonts w:cs="Times New Roman"/>
              </w:rPr>
            </w:pPr>
            <w:r w:rsidRPr="5A513947">
              <w:rPr>
                <w:rFonts w:cs="Times New Roman"/>
              </w:rPr>
              <w:t>AFI recommends that the Senior Practitioner report individuals who use prohibited practices or restricted practices outside the scope of ACT law to AHPRA or their relevant regulatory body.</w:t>
            </w:r>
          </w:p>
          <w:p w:rsidR="007F6507" w:rsidP="00F823A6" w:rsidRDefault="007F6507" w14:paraId="7CAE1D5F" w14:textId="54F4B5E7">
            <w:pPr>
              <w:pStyle w:val="ListParagraph"/>
              <w:numPr>
                <w:ilvl w:val="1"/>
                <w:numId w:val="8"/>
              </w:numPr>
              <w:jc w:val="both"/>
              <w:rPr>
                <w:rFonts w:cs="Times New Roman"/>
              </w:rPr>
            </w:pPr>
            <w:r w:rsidRPr="743D41FC">
              <w:rPr>
                <w:rFonts w:cs="Times New Roman"/>
              </w:rPr>
              <w:t xml:space="preserve">That in these instances the Senior Practitioner request AHPRA list the findings of the Senior Practitioner publicly alongside that individual’s registration </w:t>
            </w:r>
            <w:r w:rsidRPr="743D41FC" w:rsidR="007355A6">
              <w:rPr>
                <w:rFonts w:cs="Times New Roman"/>
              </w:rPr>
              <w:t>details.</w:t>
            </w:r>
          </w:p>
          <w:p w:rsidR="007F6507" w:rsidP="00F823A6" w:rsidRDefault="007F6507" w14:paraId="3EA9B2C2" w14:textId="77777777">
            <w:pPr>
              <w:pStyle w:val="ListParagraph"/>
              <w:numPr>
                <w:ilvl w:val="0"/>
                <w:numId w:val="8"/>
              </w:numPr>
              <w:jc w:val="both"/>
              <w:rPr>
                <w:rFonts w:cs="Times New Roman"/>
              </w:rPr>
            </w:pPr>
            <w:r w:rsidRPr="5A513947">
              <w:rPr>
                <w:rFonts w:cs="Times New Roman"/>
              </w:rPr>
              <w:t>Service provider organisations who are found to have used prohibited practices must have appropriate restrictions placed on their capacity to register positive behaviour support plans.</w:t>
            </w:r>
          </w:p>
          <w:p w:rsidRPr="00A736AF" w:rsidR="007F6507" w:rsidP="743D41FC" w:rsidRDefault="007F6507" w14:paraId="7D4747A6" w14:textId="29DC5986">
            <w:pPr>
              <w:pStyle w:val="ListParagraph"/>
              <w:numPr>
                <w:ilvl w:val="1"/>
                <w:numId w:val="8"/>
              </w:numPr>
              <w:jc w:val="both"/>
              <w:rPr>
                <w:rFonts w:cs="Times New Roman"/>
              </w:rPr>
            </w:pPr>
            <w:r w:rsidRPr="743D41FC">
              <w:rPr>
                <w:rFonts w:cs="Times New Roman"/>
              </w:rPr>
              <w:t xml:space="preserve">This must include details and record keeping of service providers who violate the </w:t>
            </w:r>
            <w:r w:rsidRPr="743D41FC">
              <w:rPr>
                <w:rFonts w:cs="Times New Roman"/>
                <w:i/>
                <w:iCs/>
              </w:rPr>
              <w:t xml:space="preserve">Senior Practitioner </w:t>
            </w:r>
            <w:r w:rsidRPr="743D41FC">
              <w:rPr>
                <w:rFonts w:cs="Times New Roman"/>
              </w:rPr>
              <w:t>Act or regulations underneath it.</w:t>
            </w:r>
          </w:p>
        </w:tc>
      </w:tr>
    </w:tbl>
    <w:p w:rsidR="743D41FC" w:rsidP="743D41FC" w:rsidRDefault="743D41FC" w14:paraId="2084960F" w14:textId="7FD165D3">
      <w:pPr>
        <w:jc w:val="both"/>
        <w:rPr>
          <w:rFonts w:cs="Times New Roman"/>
          <w:u w:val="single"/>
        </w:rPr>
      </w:pPr>
    </w:p>
    <w:p w:rsidR="743D41FC" w:rsidP="743D41FC" w:rsidRDefault="743D41FC" w14:paraId="1052EE2A" w14:textId="2AF4BD61">
      <w:pPr>
        <w:jc w:val="both"/>
        <w:rPr>
          <w:rFonts w:cs="Times New Roman"/>
          <w:u w:val="single"/>
        </w:rPr>
      </w:pPr>
    </w:p>
    <w:p w:rsidR="743D41FC" w:rsidP="743D41FC" w:rsidRDefault="743D41FC" w14:paraId="7438FAF8" w14:textId="40CC3C69">
      <w:pPr>
        <w:jc w:val="both"/>
        <w:rPr>
          <w:rFonts w:cs="Times New Roman"/>
          <w:u w:val="single"/>
        </w:rPr>
      </w:pPr>
    </w:p>
    <w:p w:rsidR="00031A6E" w:rsidP="743D41FC" w:rsidRDefault="00031A6E" w14:paraId="0CC4F14F" w14:textId="77777777">
      <w:pPr>
        <w:jc w:val="both"/>
        <w:rPr>
          <w:rFonts w:cs="Times New Roman"/>
          <w:u w:val="single"/>
        </w:rPr>
      </w:pPr>
    </w:p>
    <w:p w:rsidR="00031A6E" w:rsidP="743D41FC" w:rsidRDefault="00031A6E" w14:paraId="53DCA173" w14:textId="77777777">
      <w:pPr>
        <w:jc w:val="both"/>
        <w:rPr>
          <w:rFonts w:cs="Times New Roman"/>
          <w:u w:val="single"/>
        </w:rPr>
      </w:pPr>
    </w:p>
    <w:p w:rsidR="00031A6E" w:rsidP="743D41FC" w:rsidRDefault="00031A6E" w14:paraId="4681067C" w14:textId="77777777">
      <w:pPr>
        <w:jc w:val="both"/>
        <w:rPr>
          <w:rFonts w:cs="Times New Roman"/>
          <w:u w:val="single"/>
        </w:rPr>
      </w:pPr>
    </w:p>
    <w:p w:rsidR="743D41FC" w:rsidP="743D41FC" w:rsidRDefault="743D41FC" w14:paraId="1CE29D8F" w14:textId="3A4268A5">
      <w:pPr>
        <w:jc w:val="both"/>
        <w:rPr>
          <w:rFonts w:cs="Times New Roman"/>
          <w:u w:val="single"/>
        </w:rPr>
      </w:pPr>
    </w:p>
    <w:p w:rsidR="7AB904CB" w:rsidP="1893D9AA" w:rsidRDefault="7AB904CB" w14:paraId="69EC8A80" w14:textId="735D9073">
      <w:pPr>
        <w:jc w:val="both"/>
        <w:rPr>
          <w:rFonts w:ascii="DIN-Bold" w:hAnsi="DIN-Bold" w:cs="Moon-Bold"/>
          <w:b/>
          <w:bCs/>
          <w:color w:val="034797"/>
          <w:sz w:val="32"/>
          <w:szCs w:val="32"/>
          <w:lang w:val="en-AU"/>
        </w:rPr>
      </w:pPr>
      <w:r w:rsidRPr="1893D9AA">
        <w:rPr>
          <w:rFonts w:ascii="DIN-Bold" w:hAnsi="DIN-Bold" w:cs="Moon-Bold"/>
          <w:b/>
          <w:bCs/>
          <w:color w:val="034797"/>
          <w:sz w:val="32"/>
          <w:szCs w:val="32"/>
          <w:lang w:val="en-AU"/>
        </w:rPr>
        <w:t xml:space="preserve">Endorsements </w:t>
      </w:r>
    </w:p>
    <w:p w:rsidR="00031A6E" w:rsidP="743D41FC" w:rsidRDefault="7AB904CB" w14:paraId="7AD0BCC3" w14:textId="77777777">
      <w:pPr>
        <w:jc w:val="both"/>
        <w:rPr>
          <w:rFonts w:cs="Times New Roman"/>
        </w:rPr>
      </w:pPr>
      <w:r w:rsidRPr="743D41FC">
        <w:rPr>
          <w:rFonts w:cs="Times New Roman"/>
        </w:rPr>
        <w:t>This submission is endorsed by</w:t>
      </w:r>
      <w:r w:rsidR="00031A6E">
        <w:rPr>
          <w:rFonts w:cs="Times New Roman"/>
        </w:rPr>
        <w:t>:</w:t>
      </w:r>
    </w:p>
    <w:p w:rsidR="00031A6E" w:rsidP="743D41FC" w:rsidRDefault="00031A6E" w14:paraId="08B63DC0" w14:textId="77777777">
      <w:pPr>
        <w:jc w:val="both"/>
        <w:rPr>
          <w:rFonts w:cs="Times New Roman"/>
        </w:rPr>
      </w:pPr>
    </w:p>
    <w:p w:rsidR="00031A6E" w:rsidP="743D41FC" w:rsidRDefault="633117F6" w14:paraId="26EF9D25" w14:textId="4C64B8C2">
      <w:pPr>
        <w:jc w:val="both"/>
        <w:rPr>
          <w:rFonts w:cs="Times New Roman"/>
        </w:rPr>
      </w:pPr>
      <w:r w:rsidRPr="743D41FC">
        <w:rPr>
          <w:rFonts w:cs="Times New Roman"/>
        </w:rPr>
        <w:t xml:space="preserve">  </w:t>
      </w:r>
      <w:r w:rsidRPr="00CF255C">
        <w:rPr>
          <w:rFonts w:cs="Times New Roman"/>
          <w:sz w:val="24"/>
          <w:szCs w:val="28"/>
        </w:rPr>
        <w:t>ACT Council of Social Service</w:t>
      </w:r>
      <w:r w:rsidR="00D974FA">
        <w:rPr>
          <w:rFonts w:cs="Times New Roman"/>
          <w:sz w:val="24"/>
          <w:szCs w:val="28"/>
        </w:rPr>
        <w:t xml:space="preserve"> </w:t>
      </w:r>
    </w:p>
    <w:p w:rsidR="00031A6E" w:rsidP="743D41FC" w:rsidRDefault="00031A6E" w14:paraId="45F2674C" w14:textId="77777777">
      <w:pPr>
        <w:jc w:val="both"/>
        <w:rPr>
          <w:rFonts w:cs="Times New Roman"/>
        </w:rPr>
      </w:pPr>
    </w:p>
    <w:p w:rsidR="00CF255C" w:rsidP="743D41FC" w:rsidRDefault="004A7F8C" w14:paraId="41AB8B28" w14:textId="4549EE18">
      <w:pPr>
        <w:jc w:val="both"/>
        <w:rPr>
          <w:rFonts w:cs="Times New Roman"/>
        </w:rPr>
      </w:pPr>
      <w:r>
        <w:rPr>
          <w:noProof/>
        </w:rPr>
        <w:drawing>
          <wp:inline distT="0" distB="0" distL="0" distR="0" wp14:anchorId="1C2A2B9D" wp14:editId="3D38152C">
            <wp:extent cx="2785630" cy="1682496"/>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2904" cy="1692929"/>
                    </a:xfrm>
                    <a:prstGeom prst="rect">
                      <a:avLst/>
                    </a:prstGeom>
                    <a:noFill/>
                    <a:ln>
                      <a:noFill/>
                    </a:ln>
                  </pic:spPr>
                </pic:pic>
              </a:graphicData>
            </a:graphic>
          </wp:inline>
        </w:drawing>
      </w:r>
    </w:p>
    <w:p w:rsidR="00CF255C" w:rsidP="743D41FC" w:rsidRDefault="00CF255C" w14:paraId="26D9EE9E" w14:textId="77777777">
      <w:pPr>
        <w:jc w:val="both"/>
        <w:rPr>
          <w:rFonts w:cs="Times New Roman"/>
        </w:rPr>
      </w:pPr>
    </w:p>
    <w:p w:rsidR="00031A6E" w:rsidP="743D41FC" w:rsidRDefault="00031A6E" w14:paraId="454FA159" w14:textId="77777777">
      <w:pPr>
        <w:jc w:val="both"/>
        <w:rPr>
          <w:rFonts w:cs="Times New Roman"/>
        </w:rPr>
      </w:pPr>
    </w:p>
    <w:p w:rsidRPr="00CF255C" w:rsidR="00031A6E" w:rsidP="743D41FC" w:rsidRDefault="00CF255C" w14:paraId="2A614AEF" w14:textId="3A4A0139">
      <w:pPr>
        <w:jc w:val="both"/>
        <w:rPr>
          <w:rFonts w:cs="Times New Roman"/>
          <w:sz w:val="24"/>
          <w:szCs w:val="28"/>
        </w:rPr>
      </w:pPr>
      <w:r w:rsidRPr="00CF255C">
        <w:rPr>
          <w:rFonts w:cs="Times New Roman"/>
          <w:sz w:val="24"/>
          <w:szCs w:val="28"/>
        </w:rPr>
        <w:t>Imagine More</w:t>
      </w:r>
    </w:p>
    <w:p w:rsidR="1893D9AA" w:rsidP="743D41FC" w:rsidRDefault="633117F6" w14:paraId="5D5F82CD" w14:textId="55E78B9D">
      <w:pPr>
        <w:jc w:val="both"/>
        <w:rPr>
          <w:rFonts w:cs="Times New Roman"/>
        </w:rPr>
      </w:pPr>
      <w:r w:rsidRPr="743D41FC">
        <w:rPr>
          <w:rFonts w:cs="Times New Roman"/>
        </w:rPr>
        <w:t xml:space="preserve">. </w:t>
      </w:r>
      <w:r w:rsidR="00031A6E">
        <w:rPr>
          <w:noProof/>
        </w:rPr>
        <w:drawing>
          <wp:inline distT="0" distB="0" distL="0" distR="0" wp14:anchorId="0992B375" wp14:editId="2CE485A3">
            <wp:extent cx="2422571" cy="978408"/>
            <wp:effectExtent l="0" t="0" r="0" b="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0860" cy="981756"/>
                    </a:xfrm>
                    <a:prstGeom prst="rect">
                      <a:avLst/>
                    </a:prstGeom>
                    <a:noFill/>
                    <a:ln>
                      <a:noFill/>
                    </a:ln>
                  </pic:spPr>
                </pic:pic>
              </a:graphicData>
            </a:graphic>
          </wp:inline>
        </w:drawing>
      </w:r>
    </w:p>
    <w:p w:rsidR="743D41FC" w:rsidP="743D41FC" w:rsidRDefault="743D41FC" w14:paraId="0E948D23" w14:textId="089A6399">
      <w:pPr>
        <w:jc w:val="both"/>
        <w:rPr>
          <w:rFonts w:cs="Times New Roman"/>
        </w:rPr>
      </w:pPr>
    </w:p>
    <w:p w:rsidR="000D4AEA" w:rsidP="743D41FC" w:rsidRDefault="000D4AEA" w14:paraId="61241DD1" w14:textId="77777777">
      <w:pPr>
        <w:jc w:val="both"/>
        <w:rPr>
          <w:rFonts w:cs="Times New Roman"/>
        </w:rPr>
      </w:pPr>
    </w:p>
    <w:p w:rsidRPr="002777FD" w:rsidR="000D4AEA" w:rsidP="743D41FC" w:rsidRDefault="00952FAB" w14:paraId="1D0A95F8" w14:textId="556654C2">
      <w:pPr>
        <w:jc w:val="both"/>
        <w:rPr>
          <w:rFonts w:cs="Times New Roman"/>
          <w:sz w:val="24"/>
        </w:rPr>
      </w:pPr>
      <w:r>
        <w:rPr>
          <w:rFonts w:cs="Times New Roman"/>
          <w:sz w:val="24"/>
        </w:rPr>
        <w:t>For contact regarding this submission please contact Isabel</w:t>
      </w:r>
      <w:r w:rsidR="00630EC8">
        <w:rPr>
          <w:rFonts w:cs="Times New Roman"/>
          <w:sz w:val="24"/>
        </w:rPr>
        <w:t xml:space="preserve"> Moss, Policy Officer </w:t>
      </w:r>
      <w:r w:rsidR="00CE2CB7">
        <w:rPr>
          <w:rFonts w:cs="Times New Roman"/>
          <w:sz w:val="24"/>
        </w:rPr>
        <w:t xml:space="preserve">at </w:t>
      </w:r>
      <w:hyperlink w:history="1" r:id="rId13">
        <w:r w:rsidRPr="00E722F3" w:rsidR="00CE2CB7">
          <w:rPr>
            <w:rStyle w:val="Hyperlink"/>
            <w:rFonts w:cs="Times New Roman"/>
            <w:sz w:val="24"/>
          </w:rPr>
          <w:t>isabel@advocacyforinclusion.org</w:t>
        </w:r>
      </w:hyperlink>
      <w:r w:rsidR="00CE2CB7">
        <w:rPr>
          <w:rFonts w:cs="Times New Roman"/>
          <w:sz w:val="24"/>
        </w:rPr>
        <w:t xml:space="preserve"> or Craig Wallace, Head </w:t>
      </w:r>
      <w:r w:rsidR="005E3FF9">
        <w:rPr>
          <w:rFonts w:cs="Times New Roman"/>
          <w:sz w:val="24"/>
        </w:rPr>
        <w:t xml:space="preserve">of Policy on </w:t>
      </w:r>
      <w:r w:rsidR="00C02FA3">
        <w:rPr>
          <w:rFonts w:cs="Times New Roman"/>
          <w:sz w:val="24"/>
        </w:rPr>
        <w:t>0477</w:t>
      </w:r>
      <w:r w:rsidR="00BE514C">
        <w:rPr>
          <w:rFonts w:cs="Times New Roman"/>
          <w:sz w:val="24"/>
        </w:rPr>
        <w:t xml:space="preserve"> 200</w:t>
      </w:r>
      <w:r w:rsidR="00BD7D69">
        <w:rPr>
          <w:rFonts w:cs="Times New Roman"/>
          <w:sz w:val="24"/>
        </w:rPr>
        <w:t xml:space="preserve"> 755 </w:t>
      </w:r>
      <w:r w:rsidR="005218A7">
        <w:rPr>
          <w:rFonts w:cs="Times New Roman"/>
          <w:sz w:val="24"/>
        </w:rPr>
        <w:t xml:space="preserve">or </w:t>
      </w:r>
      <w:hyperlink w:history="1" r:id="rId14">
        <w:r w:rsidRPr="00E722F3" w:rsidR="005218A7">
          <w:rPr>
            <w:rStyle w:val="Hyperlink"/>
            <w:rFonts w:cs="Times New Roman"/>
            <w:sz w:val="24"/>
          </w:rPr>
          <w:t>craig@advocacyforinclusion.org</w:t>
        </w:r>
      </w:hyperlink>
      <w:r w:rsidR="005218A7">
        <w:rPr>
          <w:rFonts w:cs="Times New Roman"/>
          <w:sz w:val="24"/>
        </w:rPr>
        <w:t xml:space="preserve"> </w:t>
      </w:r>
    </w:p>
    <w:p w:rsidR="1893D9AA" w:rsidP="1893D9AA" w:rsidRDefault="1893D9AA" w14:paraId="3D54B872" w14:textId="7A4FAB2B">
      <w:pPr>
        <w:jc w:val="both"/>
        <w:rPr>
          <w:rFonts w:cs="Times New Roman"/>
          <w:u w:val="single"/>
        </w:rPr>
      </w:pPr>
    </w:p>
    <w:p w:rsidR="073EA390" w:rsidP="073EA390" w:rsidRDefault="073EA390" w14:paraId="5386A585" w14:textId="537C3023">
      <w:pPr>
        <w:jc w:val="both"/>
        <w:rPr>
          <w:rFonts w:cs="Times New Roman"/>
          <w:u w:val="single"/>
        </w:rPr>
      </w:pPr>
    </w:p>
    <w:p w:rsidR="073EA390" w:rsidP="073EA390" w:rsidRDefault="073EA390" w14:paraId="25C87EE2" w14:textId="6BD298C3">
      <w:pPr>
        <w:jc w:val="both"/>
        <w:rPr>
          <w:rFonts w:cs="Times New Roman"/>
          <w:u w:val="single"/>
        </w:rPr>
      </w:pPr>
    </w:p>
    <w:p w:rsidR="073EA390" w:rsidP="073EA390" w:rsidRDefault="073EA390" w14:paraId="08790643" w14:textId="758DF826">
      <w:pPr>
        <w:jc w:val="both"/>
        <w:rPr>
          <w:rFonts w:cs="Times New Roman"/>
          <w:u w:val="single"/>
        </w:rPr>
      </w:pPr>
    </w:p>
    <w:p w:rsidRPr="00C62766" w:rsidR="004C0E9D" w:rsidP="0F8319A6" w:rsidRDefault="004C0E9D" w14:paraId="2E42D7A0" w14:textId="1C09F3E7">
      <w:pPr>
        <w:pStyle w:val="NormalWeb"/>
        <w:jc w:val="both"/>
        <w:rPr>
          <w:rFonts w:ascii="D-DIN" w:hAnsi="D-DIN"/>
          <w:sz w:val="22"/>
          <w:szCs w:val="22"/>
        </w:rPr>
      </w:pPr>
      <w:r>
        <w:br/>
      </w:r>
      <w:r>
        <w:br/>
      </w:r>
    </w:p>
    <w:p w:rsidRPr="00C62766" w:rsidR="004C0E9D" w:rsidP="004C0E9D" w:rsidRDefault="004C0E9D" w14:paraId="5556DB08" w14:textId="77777777">
      <w:pPr>
        <w:rPr>
          <w:szCs w:val="22"/>
        </w:rPr>
      </w:pPr>
    </w:p>
    <w:sectPr w:rsidRPr="00C62766" w:rsidR="004C0E9D" w:rsidSect="001978BB">
      <w:headerReference w:type="default" r:id="rId15"/>
      <w:footerReference w:type="default" r:id="rId16"/>
      <w:headerReference w:type="first" r:id="rId17"/>
      <w:footerReference w:type="first" r:id="rId18"/>
      <w:pgSz w:w="11900" w:h="16840" w:orient="portrait"/>
      <w:pgMar w:top="1701" w:right="1440" w:bottom="1440" w:left="1440"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B3C" w:rsidP="00D919F3" w:rsidRDefault="00153B3C" w14:paraId="413F0A8A" w14:textId="77777777">
      <w:r>
        <w:separator/>
      </w:r>
    </w:p>
  </w:endnote>
  <w:endnote w:type="continuationSeparator" w:id="0">
    <w:p w:rsidR="00153B3C" w:rsidP="00D919F3" w:rsidRDefault="00153B3C" w14:paraId="29FD9622" w14:textId="77777777">
      <w:r>
        <w:continuationSeparator/>
      </w:r>
    </w:p>
  </w:endnote>
  <w:endnote w:type="continuationNotice" w:id="1">
    <w:p w:rsidR="00153B3C" w:rsidRDefault="00153B3C" w14:paraId="31333D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IN-Regular">
    <w:altName w:val="Calibri"/>
    <w:charset w:val="00"/>
    <w:family w:val="auto"/>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IN OT">
    <w:altName w:val="Cambria"/>
    <w:panose1 w:val="00000000000000000000"/>
    <w:charset w:val="00"/>
    <w:family w:val="roman"/>
    <w:notTrueType/>
    <w:pitch w:val="default"/>
  </w:font>
  <w:font w:name="DIN OT Med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269236"/>
      <w:docPartObj>
        <w:docPartGallery w:val="Page Numbers (Bottom of Page)"/>
        <w:docPartUnique/>
      </w:docPartObj>
    </w:sdtPr>
    <w:sdtEndPr>
      <w:rPr>
        <w:noProof/>
      </w:rPr>
    </w:sdtEndPr>
    <w:sdtContent>
      <w:p w:rsidR="001978BB" w:rsidP="6CBCB395" w:rsidRDefault="7A2B7D6F" w14:paraId="0494C67E" w14:textId="67FA93D9">
        <w:pPr>
          <w:pStyle w:val="Footer"/>
          <w:jc w:val="right"/>
          <w:rPr>
            <w:noProof/>
          </w:rPr>
        </w:pPr>
        <w:r w:rsidR="3BD72764">
          <w:rPr/>
          <w:t xml:space="preserve">-22-22 </w:t>
        </w:r>
        <w:r>
          <w:fldChar w:fldCharType="begin"/>
        </w:r>
        <w:r>
          <w:instrText xml:space="preserve">PAGE</w:instrText>
        </w:r>
        <w:r>
          <w:fldChar w:fldCharType="separate"/>
        </w:r>
        <w:r>
          <w:fldChar w:fldCharType="end"/>
        </w:r>
      </w:p>
    </w:sdtContent>
  </w:sdt>
  <w:p w:rsidR="00B778A0" w:rsidRDefault="00B778A0" w14:paraId="764051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8BB" w:rsidRDefault="001978BB" w14:paraId="6564734F" w14:textId="5ACAC761">
    <w:pPr>
      <w:pStyle w:val="Footer"/>
      <w:jc w:val="right"/>
    </w:pPr>
    <w:r>
      <w:t>1</w:t>
    </w:r>
  </w:p>
  <w:p w:rsidR="00FD10F2" w:rsidRDefault="00FD10F2" w14:paraId="5F4CD6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B3C" w:rsidP="00D919F3" w:rsidRDefault="00153B3C" w14:paraId="26368A09" w14:textId="77777777">
      <w:r>
        <w:separator/>
      </w:r>
    </w:p>
  </w:footnote>
  <w:footnote w:type="continuationSeparator" w:id="0">
    <w:p w:rsidR="00153B3C" w:rsidP="00D919F3" w:rsidRDefault="00153B3C" w14:paraId="43216022" w14:textId="77777777">
      <w:r>
        <w:continuationSeparator/>
      </w:r>
    </w:p>
  </w:footnote>
  <w:footnote w:type="continuationNotice" w:id="1">
    <w:p w:rsidR="00153B3C" w:rsidRDefault="00153B3C" w14:paraId="119CAA5E" w14:textId="77777777">
      <w:pPr>
        <w:spacing w:after="0" w:line="240" w:lineRule="auto"/>
      </w:pPr>
    </w:p>
  </w:footnote>
  <w:footnote w:id="2">
    <w:p w:rsidR="00C62766" w:rsidP="00C62766" w:rsidRDefault="00C62766" w14:paraId="69ADB761" w14:textId="77777777">
      <w:pPr>
        <w:pStyle w:val="FootnoteText"/>
      </w:pPr>
      <w:r>
        <w:rPr>
          <w:rStyle w:val="FootnoteReference"/>
        </w:rPr>
        <w:footnoteRef/>
      </w:r>
      <w:r>
        <w:t xml:space="preserve"> </w:t>
      </w:r>
      <w:r w:rsidRPr="00F507B5">
        <w:t>United Nations Department of Economic and Social Affairs Article 12 – Equal Recognition Before the Law, available: https://www.un.org/development/desa/disabilities/convention-on-the-rights-of-persons-with-disabilities/article-12-equal-recognition-before-the-law.html</w:t>
      </w:r>
    </w:p>
  </w:footnote>
  <w:footnote w:id="3">
    <w:p w:rsidR="00C62766" w:rsidP="00C62766" w:rsidRDefault="00C62766" w14:paraId="4861045E" w14:textId="77777777">
      <w:pPr>
        <w:pStyle w:val="FootnoteText"/>
      </w:pPr>
      <w:r>
        <w:rPr>
          <w:rStyle w:val="FootnoteReference"/>
        </w:rPr>
        <w:footnoteRef/>
      </w:r>
      <w:r>
        <w:t xml:space="preserve"> </w:t>
      </w:r>
      <w:r w:rsidRPr="00FE7AFA">
        <w:t>United Nations Department of Economic and Social Affairs Article 15 - Freedom from torture or cruel, inhuman or degrading treatment or punishment available: https://www.un.org/development/desa/disabilities/convention-on-the-rights-of-persons-with-disabilities/article-15-freedom-from-torture-or-cruel-inhuman-or-degrading-treatment-or-punishment.html</w:t>
      </w:r>
    </w:p>
  </w:footnote>
  <w:footnote w:id="4">
    <w:p w:rsidR="00C62766" w:rsidP="00C62766" w:rsidRDefault="00C62766" w14:paraId="4CF154DA" w14:textId="77777777">
      <w:pPr>
        <w:pStyle w:val="FootnoteText"/>
      </w:pPr>
      <w:r>
        <w:rPr>
          <w:rStyle w:val="FootnoteReference"/>
        </w:rPr>
        <w:footnoteRef/>
      </w:r>
      <w:r>
        <w:t xml:space="preserve"> </w:t>
      </w:r>
      <w:hyperlink w:history="1" w:anchor="_edn3" r:id="rId1">
        <w:r>
          <w:rPr>
            <w:rStyle w:val="Hyperlink"/>
          </w:rPr>
          <w:t>Factsheet: Forced Treatment and Restrictive Practices - Disabled People's Organisations Australia (DPO Australia)</w:t>
        </w:r>
      </w:hyperlink>
    </w:p>
  </w:footnote>
  <w:footnote w:id="5">
    <w:p w:rsidR="00C62766" w:rsidP="00C62766" w:rsidRDefault="00C62766" w14:paraId="61510CB4" w14:textId="77777777">
      <w:pPr>
        <w:pStyle w:val="FootnoteText"/>
      </w:pPr>
      <w:r>
        <w:rPr>
          <w:rStyle w:val="FootnoteReference"/>
        </w:rPr>
        <w:footnoteRef/>
      </w:r>
      <w:r>
        <w:t xml:space="preserve"> ibid</w:t>
      </w:r>
    </w:p>
  </w:footnote>
  <w:footnote w:id="6">
    <w:p w:rsidR="00C62766" w:rsidP="00C62766" w:rsidRDefault="00C62766" w14:paraId="7D61499A" w14:textId="77777777">
      <w:pPr>
        <w:pStyle w:val="FootnoteText"/>
      </w:pPr>
      <w:r>
        <w:rPr>
          <w:rStyle w:val="FootnoteReference"/>
        </w:rPr>
        <w:footnoteRef/>
      </w:r>
      <w:r>
        <w:t xml:space="preserve"> </w:t>
      </w:r>
      <w:hyperlink w:history="1" r:id="rId2">
        <w:r>
          <w:rPr>
            <w:rStyle w:val="Hyperlink"/>
          </w:rPr>
          <w:t>Submission on Restrictive Practices Authorisation in NSW - People with Disability Australia (pwd.org.au)</w:t>
        </w:r>
      </w:hyperlink>
    </w:p>
  </w:footnote>
  <w:footnote w:id="7">
    <w:p w:rsidR="00C62766" w:rsidP="00C62766" w:rsidRDefault="00C62766" w14:paraId="18518E96" w14:textId="77777777">
      <w:pPr>
        <w:pStyle w:val="FootnoteText"/>
      </w:pPr>
      <w:r>
        <w:rPr>
          <w:rStyle w:val="FootnoteReference"/>
        </w:rPr>
        <w:footnoteRef/>
      </w:r>
      <w:r>
        <w:t xml:space="preserve"> Women with Disabilities Australia (WWDA) (2021). ‘Response to Restrictive Practices Issues Paper of the Royal Commission into Violence, Abuse, Neglect and Exploitation of People with Disability’. July 2021, WWDA: Hobart, Tasmania.</w:t>
      </w:r>
    </w:p>
  </w:footnote>
  <w:footnote w:id="8">
    <w:p w:rsidR="1893D9AA" w:rsidP="1893D9AA" w:rsidRDefault="1893D9AA" w14:paraId="5E9D8FC2" w14:textId="6278D5D4">
      <w:pPr>
        <w:pStyle w:val="FootnoteText"/>
      </w:pPr>
      <w:r w:rsidRPr="1893D9AA">
        <w:rPr>
          <w:rStyle w:val="FootnoteReference"/>
        </w:rPr>
        <w:footnoteRef/>
      </w:r>
      <w:r>
        <w:t xml:space="preserve"> </w:t>
      </w:r>
      <w:hyperlink r:id="rId3">
        <w:r w:rsidRPr="1893D9AA">
          <w:rPr>
            <w:rStyle w:val="Hyperlink"/>
          </w:rPr>
          <w:t>Disability | ACT Council of Social Service Inc. (actcoss.org.au)</w:t>
        </w:r>
      </w:hyperlink>
    </w:p>
  </w:footnote>
  <w:footnote w:id="9">
    <w:p w:rsidR="1893D9AA" w:rsidP="1893D9AA" w:rsidRDefault="1893D9AA" w14:paraId="4F63FC14" w14:textId="033976B0">
      <w:pPr>
        <w:pStyle w:val="FootnoteText"/>
      </w:pPr>
      <w:r w:rsidRPr="1893D9AA">
        <w:rPr>
          <w:rStyle w:val="FootnoteReference"/>
        </w:rPr>
        <w:footnoteRef/>
      </w:r>
      <w:r>
        <w:t xml:space="preserve"> </w:t>
      </w:r>
      <w:hyperlink r:id="rId4">
        <w:r w:rsidRPr="1893D9AA">
          <w:rPr>
            <w:rStyle w:val="Hyperlink"/>
          </w:rPr>
          <w:t>Gatekeeping and restrictive practices with students with disability: results of an Australian survey - Imagine More</w:t>
        </w:r>
      </w:hyperlink>
    </w:p>
  </w:footnote>
  <w:footnote w:id="10">
    <w:p w:rsidR="00C62766" w:rsidP="00C62766" w:rsidRDefault="00C62766" w14:paraId="31E76AC9" w14:textId="77777777">
      <w:pPr>
        <w:pStyle w:val="FootnoteText"/>
      </w:pPr>
      <w:r>
        <w:rPr>
          <w:rStyle w:val="FootnoteReference"/>
        </w:rPr>
        <w:footnoteRef/>
      </w:r>
      <w:r>
        <w:t xml:space="preserve"> </w:t>
      </w:r>
      <w:hyperlink w:history="1" w:anchor=":~:text=Prohibited%20practices%20include%3A%201%20any%20form%20of%20corporal,child%20or%20young%20person%20of%20food%20More%20items" r:id="rId5">
        <w:r>
          <w:rPr>
            <w:rStyle w:val="Hyperlink"/>
          </w:rPr>
          <w:t>Restricted and prohibited practices - Positive behaviour | Caring for Children (nsw.gov.au)</w:t>
        </w:r>
      </w:hyperlink>
    </w:p>
  </w:footnote>
  <w:footnote w:id="11">
    <w:p w:rsidR="00C62766" w:rsidP="00C62766" w:rsidRDefault="00C62766" w14:paraId="15F87012" w14:textId="77777777">
      <w:pPr>
        <w:pStyle w:val="FootnoteText"/>
      </w:pPr>
      <w:r>
        <w:rPr>
          <w:rStyle w:val="FootnoteReference"/>
        </w:rPr>
        <w:footnoteRef/>
      </w:r>
      <w:r>
        <w:t xml:space="preserve"> Children and Young People with Disability Australia (2019) ‘Restrictive Practices Authorisation in New South Wales’ </w:t>
      </w:r>
    </w:p>
  </w:footnote>
  <w:footnote w:id="12">
    <w:p w:rsidR="00C62766" w:rsidP="00C62766" w:rsidRDefault="00C62766" w14:paraId="76F02E37" w14:textId="77777777">
      <w:pPr>
        <w:pStyle w:val="FootnoteText"/>
      </w:pPr>
      <w:r>
        <w:rPr>
          <w:rStyle w:val="FootnoteReference"/>
        </w:rPr>
        <w:footnoteRef/>
      </w:r>
      <w:r>
        <w:t xml:space="preserve"> ibid</w:t>
      </w:r>
    </w:p>
  </w:footnote>
  <w:footnote w:id="13">
    <w:p w:rsidR="00C62766" w:rsidP="00C62766" w:rsidRDefault="00C62766" w14:paraId="7729DF5A" w14:textId="77777777">
      <w:pPr>
        <w:pStyle w:val="FootnoteText"/>
      </w:pPr>
      <w:r>
        <w:rPr>
          <w:rStyle w:val="FootnoteReference"/>
        </w:rPr>
        <w:footnoteRef/>
      </w:r>
      <w:r>
        <w:t xml:space="preserve"> McCarthy, T (2018) Regulating restraint and seclusion in Australian Government Schools, A Comparative Human Rights Analysis, QUT Law Review Volume 18, General Issue 2 pp. 194–228ISSN: Online–2201-7275</w:t>
      </w:r>
    </w:p>
  </w:footnote>
  <w:footnote w:id="14">
    <w:p w:rsidR="00C62766" w:rsidP="00C62766" w:rsidRDefault="00C62766" w14:paraId="1C6A64C7" w14:textId="77777777">
      <w:pPr>
        <w:pStyle w:val="FootnoteText"/>
      </w:pPr>
      <w:r>
        <w:rPr>
          <w:rStyle w:val="FootnoteReference"/>
        </w:rPr>
        <w:footnoteRef/>
      </w:r>
      <w:r>
        <w:t xml:space="preserve"> McCarthy, T (2018) Citing multiple sources</w:t>
      </w:r>
    </w:p>
  </w:footnote>
  <w:footnote w:id="15">
    <w:p w:rsidR="00C62766" w:rsidP="00C62766" w:rsidRDefault="00C62766" w14:paraId="38A8DB1E" w14:textId="77777777">
      <w:pPr>
        <w:pStyle w:val="FootnoteText"/>
      </w:pPr>
      <w:r>
        <w:rPr>
          <w:rStyle w:val="FootnoteReference"/>
        </w:rPr>
        <w:footnoteRef/>
      </w:r>
      <w:r>
        <w:t xml:space="preserve"> Ibid</w:t>
      </w:r>
    </w:p>
  </w:footnote>
  <w:footnote w:id="16">
    <w:p w:rsidR="00C62766" w:rsidP="00C62766" w:rsidRDefault="00C62766" w14:paraId="40EAE9E9" w14:textId="77777777">
      <w:pPr>
        <w:pStyle w:val="FootnoteText"/>
      </w:pPr>
      <w:r>
        <w:rPr>
          <w:rStyle w:val="FootnoteReference"/>
        </w:rPr>
        <w:footnoteRef/>
      </w:r>
      <w:r>
        <w:t xml:space="preserve"> Women with Disabilities Australia (WWDA) (2021). ‘Response to Restrictive Practices Issues Paper of the Royal Commission into Violence, Abuse, Neglect and Exploitation of People with Disability’. July 2021, WWDA: Hobart, Tasmania.</w:t>
      </w:r>
    </w:p>
  </w:footnote>
  <w:footnote w:id="17">
    <w:p w:rsidR="00C62766" w:rsidP="00C62766" w:rsidRDefault="00C62766" w14:paraId="0F1C6B96" w14:textId="77777777">
      <w:pPr>
        <w:pStyle w:val="FootnoteText"/>
      </w:pPr>
      <w:r>
        <w:rPr>
          <w:rStyle w:val="FootnoteReference"/>
        </w:rPr>
        <w:footnoteRef/>
      </w:r>
      <w:r>
        <w:t xml:space="preserve"> Ibid page 58, paragraph 5.1</w:t>
      </w:r>
    </w:p>
  </w:footnote>
  <w:footnote w:id="18">
    <w:p w:rsidR="00C62766" w:rsidP="00C62766" w:rsidRDefault="00C62766" w14:paraId="50580819" w14:textId="77777777">
      <w:pPr>
        <w:pStyle w:val="FootnoteText"/>
      </w:pPr>
      <w:r>
        <w:rPr>
          <w:rStyle w:val="FootnoteReference"/>
        </w:rPr>
        <w:footnoteRef/>
      </w:r>
      <w:r>
        <w:t xml:space="preserve"> Ibid page 58 paragraph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78BB" w:rsidRDefault="001978BB" w14:paraId="7FEF37BB" w14:textId="77777777">
    <w:pPr>
      <w:pStyle w:val="Header"/>
      <w:rPr>
        <w:noProof/>
        <w:color w:val="2B579A"/>
        <w:shd w:val="clear" w:color="auto" w:fill="E6E6E6"/>
        <w:lang w:eastAsia="en-GB"/>
      </w:rPr>
    </w:pPr>
  </w:p>
  <w:p w:rsidR="006C670E" w:rsidRDefault="006C670E" w14:paraId="28E083F9" w14:textId="304FC96D">
    <w:pPr>
      <w:pStyle w:val="Header"/>
    </w:pPr>
    <w:r>
      <w:rPr>
        <w:noProof/>
        <w:color w:val="2B579A"/>
        <w:shd w:val="clear" w:color="auto" w:fill="E6E6E6"/>
        <w:lang w:eastAsia="en-GB"/>
      </w:rPr>
      <w:drawing>
        <wp:anchor distT="0" distB="0" distL="114300" distR="114300" simplePos="0" relativeHeight="251658240" behindDoc="0" locked="1" layoutInCell="1" allowOverlap="1" wp14:anchorId="200FBD56" wp14:editId="16DF402C">
          <wp:simplePos x="0" y="0"/>
          <wp:positionH relativeFrom="column">
            <wp:posOffset>-1019175</wp:posOffset>
          </wp:positionH>
          <wp:positionV relativeFrom="page">
            <wp:posOffset>-76200</wp:posOffset>
          </wp:positionV>
          <wp:extent cx="9906000" cy="11058525"/>
          <wp:effectExtent l="0" t="0" r="0" b="9525"/>
          <wp:wrapNone/>
          <wp:docPr id="57" name="Picture 57" descr="background%20graphics%20for%20archive/AFI_Letterhea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Letterhead_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964"/>
                  <a:stretch/>
                </pic:blipFill>
                <pic:spPr bwMode="auto">
                  <a:xfrm>
                    <a:off x="0" y="0"/>
                    <a:ext cx="9906000" cy="1105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8BB">
      <w:rPr>
        <w:noProof/>
        <w:color w:val="2B579A"/>
        <w:shd w:val="clear" w:color="auto" w:fill="E6E6E6"/>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670E" w:rsidRDefault="00B778A0" w14:paraId="4F3796FC" w14:textId="2214411D">
    <w:pPr>
      <w:pStyle w:val="Header"/>
    </w:pPr>
    <w:r>
      <w:rPr>
        <w:noProof/>
        <w:color w:val="2B579A"/>
        <w:shd w:val="clear" w:color="auto" w:fill="E6E6E6"/>
      </w:rPr>
      <w:drawing>
        <wp:anchor distT="0" distB="0" distL="114300" distR="114300" simplePos="0" relativeHeight="251658241" behindDoc="1" locked="0" layoutInCell="1" allowOverlap="1" wp14:anchorId="0DAD86BE" wp14:editId="5516E7B0">
          <wp:simplePos x="0" y="0"/>
          <wp:positionH relativeFrom="column">
            <wp:posOffset>-914400</wp:posOffset>
          </wp:positionH>
          <wp:positionV relativeFrom="paragraph">
            <wp:posOffset>-440055</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51" cy="10779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LE98Avrx" int2:invalidationBookmarkName="" int2:hashCode="dNrqHKIPvJjM5k" int2:id="RTlYemg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C315"/>
    <w:multiLevelType w:val="hybridMultilevel"/>
    <w:tmpl w:val="FFFFFFFF"/>
    <w:lvl w:ilvl="0" w:tplc="E4C2ADAC">
      <w:start w:val="1"/>
      <w:numFmt w:val="decimal"/>
      <w:lvlText w:val="%1."/>
      <w:lvlJc w:val="left"/>
      <w:pPr>
        <w:ind w:left="720" w:hanging="360"/>
      </w:pPr>
    </w:lvl>
    <w:lvl w:ilvl="1" w:tplc="4AAC11E6">
      <w:start w:val="1"/>
      <w:numFmt w:val="lowerLetter"/>
      <w:lvlText w:val="%2."/>
      <w:lvlJc w:val="left"/>
      <w:pPr>
        <w:ind w:left="1440" w:hanging="360"/>
      </w:pPr>
    </w:lvl>
    <w:lvl w:ilvl="2" w:tplc="24D2D434">
      <w:start w:val="1"/>
      <w:numFmt w:val="lowerRoman"/>
      <w:lvlText w:val="%3."/>
      <w:lvlJc w:val="right"/>
      <w:pPr>
        <w:ind w:left="2160" w:hanging="180"/>
      </w:pPr>
    </w:lvl>
    <w:lvl w:ilvl="3" w:tplc="58809D08">
      <w:start w:val="1"/>
      <w:numFmt w:val="decimal"/>
      <w:lvlText w:val="%4."/>
      <w:lvlJc w:val="left"/>
      <w:pPr>
        <w:ind w:left="2880" w:hanging="360"/>
      </w:pPr>
    </w:lvl>
    <w:lvl w:ilvl="4" w:tplc="E508293A">
      <w:start w:val="1"/>
      <w:numFmt w:val="lowerLetter"/>
      <w:lvlText w:val="%5."/>
      <w:lvlJc w:val="left"/>
      <w:pPr>
        <w:ind w:left="3600" w:hanging="360"/>
      </w:pPr>
    </w:lvl>
    <w:lvl w:ilvl="5" w:tplc="0A78DE74">
      <w:start w:val="1"/>
      <w:numFmt w:val="lowerRoman"/>
      <w:lvlText w:val="%6."/>
      <w:lvlJc w:val="right"/>
      <w:pPr>
        <w:ind w:left="4320" w:hanging="180"/>
      </w:pPr>
    </w:lvl>
    <w:lvl w:ilvl="6" w:tplc="A0C08198">
      <w:start w:val="1"/>
      <w:numFmt w:val="decimal"/>
      <w:lvlText w:val="%7."/>
      <w:lvlJc w:val="left"/>
      <w:pPr>
        <w:ind w:left="5040" w:hanging="360"/>
      </w:pPr>
    </w:lvl>
    <w:lvl w:ilvl="7" w:tplc="26FE3AD0">
      <w:start w:val="1"/>
      <w:numFmt w:val="lowerLetter"/>
      <w:lvlText w:val="%8."/>
      <w:lvlJc w:val="left"/>
      <w:pPr>
        <w:ind w:left="5760" w:hanging="360"/>
      </w:pPr>
    </w:lvl>
    <w:lvl w:ilvl="8" w:tplc="A9C0D3DA">
      <w:start w:val="1"/>
      <w:numFmt w:val="lowerRoman"/>
      <w:lvlText w:val="%9."/>
      <w:lvlJc w:val="right"/>
      <w:pPr>
        <w:ind w:left="6480" w:hanging="180"/>
      </w:pPr>
    </w:lvl>
  </w:abstractNum>
  <w:abstractNum w:abstractNumId="1" w15:restartNumberingAfterBreak="0">
    <w:nsid w:val="1DE471C0"/>
    <w:multiLevelType w:val="hybridMultilevel"/>
    <w:tmpl w:val="4A3A05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90374C"/>
    <w:multiLevelType w:val="hybridMultilevel"/>
    <w:tmpl w:val="FFFFFFFF"/>
    <w:lvl w:ilvl="0" w:tplc="BF6E5C3E">
      <w:start w:val="1"/>
      <w:numFmt w:val="decimal"/>
      <w:lvlText w:val="%1."/>
      <w:lvlJc w:val="left"/>
      <w:pPr>
        <w:ind w:left="720" w:hanging="360"/>
      </w:pPr>
    </w:lvl>
    <w:lvl w:ilvl="1" w:tplc="205CC83C">
      <w:start w:val="1"/>
      <w:numFmt w:val="lowerLetter"/>
      <w:lvlText w:val="%2."/>
      <w:lvlJc w:val="left"/>
      <w:pPr>
        <w:ind w:left="1494" w:hanging="360"/>
      </w:pPr>
    </w:lvl>
    <w:lvl w:ilvl="2" w:tplc="2168DD06">
      <w:start w:val="1"/>
      <w:numFmt w:val="lowerRoman"/>
      <w:lvlText w:val="%3."/>
      <w:lvlJc w:val="right"/>
      <w:pPr>
        <w:ind w:left="2160" w:hanging="180"/>
      </w:pPr>
    </w:lvl>
    <w:lvl w:ilvl="3" w:tplc="D6C4CBAA">
      <w:start w:val="1"/>
      <w:numFmt w:val="decimal"/>
      <w:lvlText w:val="%4."/>
      <w:lvlJc w:val="left"/>
      <w:pPr>
        <w:ind w:left="2880" w:hanging="360"/>
      </w:pPr>
    </w:lvl>
    <w:lvl w:ilvl="4" w:tplc="D63C59C0">
      <w:start w:val="1"/>
      <w:numFmt w:val="lowerLetter"/>
      <w:lvlText w:val="%5."/>
      <w:lvlJc w:val="left"/>
      <w:pPr>
        <w:ind w:left="3600" w:hanging="360"/>
      </w:pPr>
    </w:lvl>
    <w:lvl w:ilvl="5" w:tplc="A9940904">
      <w:start w:val="1"/>
      <w:numFmt w:val="lowerRoman"/>
      <w:lvlText w:val="%6."/>
      <w:lvlJc w:val="right"/>
      <w:pPr>
        <w:ind w:left="4320" w:hanging="180"/>
      </w:pPr>
    </w:lvl>
    <w:lvl w:ilvl="6" w:tplc="17B28BFC">
      <w:start w:val="1"/>
      <w:numFmt w:val="decimal"/>
      <w:lvlText w:val="%7."/>
      <w:lvlJc w:val="left"/>
      <w:pPr>
        <w:ind w:left="5040" w:hanging="360"/>
      </w:pPr>
    </w:lvl>
    <w:lvl w:ilvl="7" w:tplc="B26C5DD2">
      <w:start w:val="1"/>
      <w:numFmt w:val="lowerLetter"/>
      <w:lvlText w:val="%8."/>
      <w:lvlJc w:val="left"/>
      <w:pPr>
        <w:ind w:left="5760" w:hanging="360"/>
      </w:pPr>
    </w:lvl>
    <w:lvl w:ilvl="8" w:tplc="A65480E0">
      <w:start w:val="1"/>
      <w:numFmt w:val="lowerRoman"/>
      <w:lvlText w:val="%9."/>
      <w:lvlJc w:val="right"/>
      <w:pPr>
        <w:ind w:left="6480" w:hanging="180"/>
      </w:pPr>
    </w:lvl>
  </w:abstractNum>
  <w:abstractNum w:abstractNumId="3" w15:restartNumberingAfterBreak="0">
    <w:nsid w:val="24D5414B"/>
    <w:multiLevelType w:val="hybridMultilevel"/>
    <w:tmpl w:val="6668374A"/>
    <w:lvl w:ilvl="0" w:tplc="BF1C24DA">
      <w:numFmt w:val="bullet"/>
      <w:lvlText w:val="-"/>
      <w:lvlJc w:val="left"/>
      <w:pPr>
        <w:ind w:left="768" w:hanging="360"/>
      </w:pPr>
      <w:rPr>
        <w:rFonts w:hint="default" w:ascii="Calibri" w:hAnsi="Calibri" w:cs="Calibri" w:eastAsiaTheme="minorHAnsi"/>
      </w:rPr>
    </w:lvl>
    <w:lvl w:ilvl="1" w:tplc="0C090003" w:tentative="1">
      <w:start w:val="1"/>
      <w:numFmt w:val="bullet"/>
      <w:lvlText w:val="o"/>
      <w:lvlJc w:val="left"/>
      <w:pPr>
        <w:ind w:left="1488" w:hanging="360"/>
      </w:pPr>
      <w:rPr>
        <w:rFonts w:hint="default" w:ascii="Courier New" w:hAnsi="Courier New" w:cs="Courier New"/>
      </w:rPr>
    </w:lvl>
    <w:lvl w:ilvl="2" w:tplc="0C090005" w:tentative="1">
      <w:start w:val="1"/>
      <w:numFmt w:val="bullet"/>
      <w:lvlText w:val=""/>
      <w:lvlJc w:val="left"/>
      <w:pPr>
        <w:ind w:left="2208" w:hanging="360"/>
      </w:pPr>
      <w:rPr>
        <w:rFonts w:hint="default" w:ascii="Wingdings" w:hAnsi="Wingdings"/>
      </w:rPr>
    </w:lvl>
    <w:lvl w:ilvl="3" w:tplc="0C090001" w:tentative="1">
      <w:start w:val="1"/>
      <w:numFmt w:val="bullet"/>
      <w:lvlText w:val=""/>
      <w:lvlJc w:val="left"/>
      <w:pPr>
        <w:ind w:left="2928" w:hanging="360"/>
      </w:pPr>
      <w:rPr>
        <w:rFonts w:hint="default" w:ascii="Symbol" w:hAnsi="Symbol"/>
      </w:rPr>
    </w:lvl>
    <w:lvl w:ilvl="4" w:tplc="0C090003" w:tentative="1">
      <w:start w:val="1"/>
      <w:numFmt w:val="bullet"/>
      <w:lvlText w:val="o"/>
      <w:lvlJc w:val="left"/>
      <w:pPr>
        <w:ind w:left="3648" w:hanging="360"/>
      </w:pPr>
      <w:rPr>
        <w:rFonts w:hint="default" w:ascii="Courier New" w:hAnsi="Courier New" w:cs="Courier New"/>
      </w:rPr>
    </w:lvl>
    <w:lvl w:ilvl="5" w:tplc="0C090005" w:tentative="1">
      <w:start w:val="1"/>
      <w:numFmt w:val="bullet"/>
      <w:lvlText w:val=""/>
      <w:lvlJc w:val="left"/>
      <w:pPr>
        <w:ind w:left="4368" w:hanging="360"/>
      </w:pPr>
      <w:rPr>
        <w:rFonts w:hint="default" w:ascii="Wingdings" w:hAnsi="Wingdings"/>
      </w:rPr>
    </w:lvl>
    <w:lvl w:ilvl="6" w:tplc="0C090001" w:tentative="1">
      <w:start w:val="1"/>
      <w:numFmt w:val="bullet"/>
      <w:lvlText w:val=""/>
      <w:lvlJc w:val="left"/>
      <w:pPr>
        <w:ind w:left="5088" w:hanging="360"/>
      </w:pPr>
      <w:rPr>
        <w:rFonts w:hint="default" w:ascii="Symbol" w:hAnsi="Symbol"/>
      </w:rPr>
    </w:lvl>
    <w:lvl w:ilvl="7" w:tplc="0C090003" w:tentative="1">
      <w:start w:val="1"/>
      <w:numFmt w:val="bullet"/>
      <w:lvlText w:val="o"/>
      <w:lvlJc w:val="left"/>
      <w:pPr>
        <w:ind w:left="5808" w:hanging="360"/>
      </w:pPr>
      <w:rPr>
        <w:rFonts w:hint="default" w:ascii="Courier New" w:hAnsi="Courier New" w:cs="Courier New"/>
      </w:rPr>
    </w:lvl>
    <w:lvl w:ilvl="8" w:tplc="0C090005" w:tentative="1">
      <w:start w:val="1"/>
      <w:numFmt w:val="bullet"/>
      <w:lvlText w:val=""/>
      <w:lvlJc w:val="left"/>
      <w:pPr>
        <w:ind w:left="6528" w:hanging="360"/>
      </w:pPr>
      <w:rPr>
        <w:rFonts w:hint="default" w:ascii="Wingdings" w:hAnsi="Wingdings"/>
      </w:rPr>
    </w:lvl>
  </w:abstractNum>
  <w:abstractNum w:abstractNumId="4" w15:restartNumberingAfterBreak="0">
    <w:nsid w:val="2DFB26A2"/>
    <w:multiLevelType w:val="hybridMultilevel"/>
    <w:tmpl w:val="7A186568"/>
    <w:lvl w:ilvl="0" w:tplc="BF1C24DA">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E893A63"/>
    <w:multiLevelType w:val="hybridMultilevel"/>
    <w:tmpl w:val="DFF2F1F8"/>
    <w:lvl w:ilvl="0" w:tplc="54DCFF30">
      <w:start w:val="1"/>
      <w:numFmt w:val="lowerLetter"/>
      <w:lvlText w:val="%1."/>
      <w:lvlJc w:val="left"/>
      <w:pPr>
        <w:ind w:left="1440" w:hanging="360"/>
      </w:pPr>
    </w:lvl>
    <w:lvl w:ilvl="1" w:tplc="88C42CAE">
      <w:start w:val="1"/>
      <w:numFmt w:val="lowerLetter"/>
      <w:lvlText w:val="%2."/>
      <w:lvlJc w:val="left"/>
      <w:pPr>
        <w:ind w:left="2160" w:hanging="360"/>
      </w:pPr>
    </w:lvl>
    <w:lvl w:ilvl="2" w:tplc="801ADD1C">
      <w:start w:val="1"/>
      <w:numFmt w:val="lowerRoman"/>
      <w:lvlText w:val="%3."/>
      <w:lvlJc w:val="right"/>
      <w:pPr>
        <w:ind w:left="2880" w:hanging="180"/>
      </w:pPr>
    </w:lvl>
    <w:lvl w:ilvl="3" w:tplc="2FB6D94E">
      <w:start w:val="1"/>
      <w:numFmt w:val="decimal"/>
      <w:lvlText w:val="%4."/>
      <w:lvlJc w:val="left"/>
      <w:pPr>
        <w:ind w:left="3600" w:hanging="360"/>
      </w:pPr>
    </w:lvl>
    <w:lvl w:ilvl="4" w:tplc="4686D532">
      <w:start w:val="1"/>
      <w:numFmt w:val="lowerLetter"/>
      <w:lvlText w:val="%5."/>
      <w:lvlJc w:val="left"/>
      <w:pPr>
        <w:ind w:left="4320" w:hanging="360"/>
      </w:pPr>
    </w:lvl>
    <w:lvl w:ilvl="5" w:tplc="71AC5D22">
      <w:start w:val="1"/>
      <w:numFmt w:val="lowerRoman"/>
      <w:lvlText w:val="%6."/>
      <w:lvlJc w:val="right"/>
      <w:pPr>
        <w:ind w:left="5040" w:hanging="180"/>
      </w:pPr>
    </w:lvl>
    <w:lvl w:ilvl="6" w:tplc="7A163BAA">
      <w:start w:val="1"/>
      <w:numFmt w:val="decimal"/>
      <w:lvlText w:val="%7."/>
      <w:lvlJc w:val="left"/>
      <w:pPr>
        <w:ind w:left="5760" w:hanging="360"/>
      </w:pPr>
    </w:lvl>
    <w:lvl w:ilvl="7" w:tplc="690C6E58">
      <w:start w:val="1"/>
      <w:numFmt w:val="lowerLetter"/>
      <w:lvlText w:val="%8."/>
      <w:lvlJc w:val="left"/>
      <w:pPr>
        <w:ind w:left="6480" w:hanging="360"/>
      </w:pPr>
    </w:lvl>
    <w:lvl w:ilvl="8" w:tplc="AFD28FE4">
      <w:start w:val="1"/>
      <w:numFmt w:val="lowerRoman"/>
      <w:lvlText w:val="%9."/>
      <w:lvlJc w:val="right"/>
      <w:pPr>
        <w:ind w:left="7200" w:hanging="180"/>
      </w:pPr>
    </w:lvl>
  </w:abstractNum>
  <w:abstractNum w:abstractNumId="6" w15:restartNumberingAfterBreak="0">
    <w:nsid w:val="457D1E37"/>
    <w:multiLevelType w:val="hybridMultilevel"/>
    <w:tmpl w:val="C3DC82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27403D"/>
    <w:multiLevelType w:val="hybridMultilevel"/>
    <w:tmpl w:val="253829F0"/>
    <w:lvl w:ilvl="0" w:tplc="BF1C24DA">
      <w:numFmt w:val="bullet"/>
      <w:lvlText w:val="-"/>
      <w:lvlJc w:val="left"/>
      <w:pPr>
        <w:ind w:left="720" w:hanging="360"/>
      </w:pPr>
      <w:rPr>
        <w:rFonts w:hint="default" w:ascii="Calibri" w:hAnsi="Calibri" w:cs="Calibri" w:eastAsiaTheme="minorHAns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87720602">
    <w:abstractNumId w:val="5"/>
  </w:num>
  <w:num w:numId="2" w16cid:durableId="1547334064">
    <w:abstractNumId w:val="4"/>
  </w:num>
  <w:num w:numId="3" w16cid:durableId="555093646">
    <w:abstractNumId w:val="7"/>
  </w:num>
  <w:num w:numId="4" w16cid:durableId="376197290">
    <w:abstractNumId w:val="6"/>
  </w:num>
  <w:num w:numId="5" w16cid:durableId="2018456132">
    <w:abstractNumId w:val="1"/>
  </w:num>
  <w:num w:numId="6" w16cid:durableId="341124342">
    <w:abstractNumId w:val="3"/>
  </w:num>
  <w:num w:numId="7" w16cid:durableId="321979378">
    <w:abstractNumId w:val="0"/>
  </w:num>
  <w:num w:numId="8" w16cid:durableId="305623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attachedTemplate r:id="rId1"/>
  <w:trackRevisions w:val="false"/>
  <w:defaultTabStop w:val="720"/>
  <w:characterSpacingControl w:val="doNotCompress"/>
  <w:hdrShapeDefaults>
    <o:shapedefaults v:ext="edit" spidmax="2050">
      <o:colormru v:ext="edit" colors="#f1ef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TY2szQyMLU0MzJV0lEKTi0uzszPAykwqwUARQZwmSwAAAA="/>
  </w:docVars>
  <w:rsids>
    <w:rsidRoot w:val="00C62766"/>
    <w:rsid w:val="00000AFB"/>
    <w:rsid w:val="00001B9C"/>
    <w:rsid w:val="0000204F"/>
    <w:rsid w:val="0000486B"/>
    <w:rsid w:val="00004CC7"/>
    <w:rsid w:val="00017993"/>
    <w:rsid w:val="00020670"/>
    <w:rsid w:val="00023067"/>
    <w:rsid w:val="0002314F"/>
    <w:rsid w:val="0002478F"/>
    <w:rsid w:val="000259B2"/>
    <w:rsid w:val="000277E2"/>
    <w:rsid w:val="00031A6E"/>
    <w:rsid w:val="00032903"/>
    <w:rsid w:val="000379FD"/>
    <w:rsid w:val="00043393"/>
    <w:rsid w:val="000437C6"/>
    <w:rsid w:val="000463DC"/>
    <w:rsid w:val="0005565E"/>
    <w:rsid w:val="00064388"/>
    <w:rsid w:val="0007083B"/>
    <w:rsid w:val="00083343"/>
    <w:rsid w:val="000A0390"/>
    <w:rsid w:val="000B12EC"/>
    <w:rsid w:val="000B5AA9"/>
    <w:rsid w:val="000C0776"/>
    <w:rsid w:val="000D085E"/>
    <w:rsid w:val="000D4AEA"/>
    <w:rsid w:val="000D6224"/>
    <w:rsid w:val="000E1E37"/>
    <w:rsid w:val="000E5E45"/>
    <w:rsid w:val="000F5BAD"/>
    <w:rsid w:val="00100E3C"/>
    <w:rsid w:val="001050AE"/>
    <w:rsid w:val="00113AF6"/>
    <w:rsid w:val="001177D6"/>
    <w:rsid w:val="00130B08"/>
    <w:rsid w:val="0013530E"/>
    <w:rsid w:val="00141C23"/>
    <w:rsid w:val="00151644"/>
    <w:rsid w:val="0015345B"/>
    <w:rsid w:val="00153B3C"/>
    <w:rsid w:val="00153D00"/>
    <w:rsid w:val="00161BA6"/>
    <w:rsid w:val="00165BE1"/>
    <w:rsid w:val="001732CE"/>
    <w:rsid w:val="00173C64"/>
    <w:rsid w:val="00174CF1"/>
    <w:rsid w:val="00175C23"/>
    <w:rsid w:val="00191B90"/>
    <w:rsid w:val="00191E8D"/>
    <w:rsid w:val="001978BB"/>
    <w:rsid w:val="00197EBC"/>
    <w:rsid w:val="00197FD5"/>
    <w:rsid w:val="001A6D15"/>
    <w:rsid w:val="001A6FBE"/>
    <w:rsid w:val="001B29C4"/>
    <w:rsid w:val="001B29DA"/>
    <w:rsid w:val="001B2B2F"/>
    <w:rsid w:val="001B5CA9"/>
    <w:rsid w:val="001C4AF0"/>
    <w:rsid w:val="001D59A6"/>
    <w:rsid w:val="001E2BA6"/>
    <w:rsid w:val="001F1357"/>
    <w:rsid w:val="001F1CCB"/>
    <w:rsid w:val="001F47AA"/>
    <w:rsid w:val="001F6E99"/>
    <w:rsid w:val="00201EE8"/>
    <w:rsid w:val="00202540"/>
    <w:rsid w:val="00205B80"/>
    <w:rsid w:val="002060D5"/>
    <w:rsid w:val="002076D6"/>
    <w:rsid w:val="00211FDD"/>
    <w:rsid w:val="00232EBB"/>
    <w:rsid w:val="00235083"/>
    <w:rsid w:val="002554B2"/>
    <w:rsid w:val="00261EEC"/>
    <w:rsid w:val="002666AA"/>
    <w:rsid w:val="00267CEC"/>
    <w:rsid w:val="00272697"/>
    <w:rsid w:val="002754F3"/>
    <w:rsid w:val="0027710C"/>
    <w:rsid w:val="002777FD"/>
    <w:rsid w:val="00280CD8"/>
    <w:rsid w:val="0028218C"/>
    <w:rsid w:val="00282829"/>
    <w:rsid w:val="00291BF5"/>
    <w:rsid w:val="00294C46"/>
    <w:rsid w:val="002A0BFE"/>
    <w:rsid w:val="002A73F9"/>
    <w:rsid w:val="002C4019"/>
    <w:rsid w:val="002E0BE0"/>
    <w:rsid w:val="002E1E43"/>
    <w:rsid w:val="002E79C1"/>
    <w:rsid w:val="002E7BC9"/>
    <w:rsid w:val="002E7DB8"/>
    <w:rsid w:val="002F1D19"/>
    <w:rsid w:val="00302DCC"/>
    <w:rsid w:val="00306089"/>
    <w:rsid w:val="00307938"/>
    <w:rsid w:val="00315F44"/>
    <w:rsid w:val="00323903"/>
    <w:rsid w:val="003239B7"/>
    <w:rsid w:val="003300AB"/>
    <w:rsid w:val="00340A76"/>
    <w:rsid w:val="00346F65"/>
    <w:rsid w:val="00352695"/>
    <w:rsid w:val="00354820"/>
    <w:rsid w:val="00364311"/>
    <w:rsid w:val="003724EF"/>
    <w:rsid w:val="00372E3D"/>
    <w:rsid w:val="00391392"/>
    <w:rsid w:val="00393815"/>
    <w:rsid w:val="003A1D3C"/>
    <w:rsid w:val="003A3797"/>
    <w:rsid w:val="003A44DA"/>
    <w:rsid w:val="003A565D"/>
    <w:rsid w:val="003B3DCA"/>
    <w:rsid w:val="003B56BE"/>
    <w:rsid w:val="003B7FE4"/>
    <w:rsid w:val="003C330B"/>
    <w:rsid w:val="003C4914"/>
    <w:rsid w:val="003D60B0"/>
    <w:rsid w:val="003D6689"/>
    <w:rsid w:val="003D74FD"/>
    <w:rsid w:val="003E2FB3"/>
    <w:rsid w:val="003E65D7"/>
    <w:rsid w:val="003F1BD9"/>
    <w:rsid w:val="004064AC"/>
    <w:rsid w:val="0040757C"/>
    <w:rsid w:val="004123D6"/>
    <w:rsid w:val="004350AE"/>
    <w:rsid w:val="00436553"/>
    <w:rsid w:val="00437286"/>
    <w:rsid w:val="00443D61"/>
    <w:rsid w:val="0044679A"/>
    <w:rsid w:val="004507A9"/>
    <w:rsid w:val="00450F31"/>
    <w:rsid w:val="00464809"/>
    <w:rsid w:val="0047542C"/>
    <w:rsid w:val="004870A5"/>
    <w:rsid w:val="004913EE"/>
    <w:rsid w:val="00492CF8"/>
    <w:rsid w:val="004979A6"/>
    <w:rsid w:val="00497F1C"/>
    <w:rsid w:val="004A07E5"/>
    <w:rsid w:val="004A3691"/>
    <w:rsid w:val="004A7F8C"/>
    <w:rsid w:val="004B2358"/>
    <w:rsid w:val="004B7280"/>
    <w:rsid w:val="004C0E9D"/>
    <w:rsid w:val="004C30C8"/>
    <w:rsid w:val="004C45D5"/>
    <w:rsid w:val="004E5459"/>
    <w:rsid w:val="004E5BDB"/>
    <w:rsid w:val="004F221B"/>
    <w:rsid w:val="0050716B"/>
    <w:rsid w:val="0051400A"/>
    <w:rsid w:val="005204CF"/>
    <w:rsid w:val="005218A7"/>
    <w:rsid w:val="00522426"/>
    <w:rsid w:val="00526CC7"/>
    <w:rsid w:val="00527E9D"/>
    <w:rsid w:val="005320A9"/>
    <w:rsid w:val="00536CE7"/>
    <w:rsid w:val="00543437"/>
    <w:rsid w:val="00555CDB"/>
    <w:rsid w:val="005671EB"/>
    <w:rsid w:val="00570DFF"/>
    <w:rsid w:val="00571782"/>
    <w:rsid w:val="005719F1"/>
    <w:rsid w:val="005724B6"/>
    <w:rsid w:val="00572F26"/>
    <w:rsid w:val="005753F8"/>
    <w:rsid w:val="005845A6"/>
    <w:rsid w:val="005870D5"/>
    <w:rsid w:val="00592764"/>
    <w:rsid w:val="00597D1E"/>
    <w:rsid w:val="005A0F73"/>
    <w:rsid w:val="005A466A"/>
    <w:rsid w:val="005A4700"/>
    <w:rsid w:val="005A4E89"/>
    <w:rsid w:val="005B003A"/>
    <w:rsid w:val="005B203B"/>
    <w:rsid w:val="005B31F3"/>
    <w:rsid w:val="005B7346"/>
    <w:rsid w:val="005D0CE3"/>
    <w:rsid w:val="005D2CE9"/>
    <w:rsid w:val="005D5F1C"/>
    <w:rsid w:val="005E29CB"/>
    <w:rsid w:val="005E3E40"/>
    <w:rsid w:val="005E3FF9"/>
    <w:rsid w:val="00601D6F"/>
    <w:rsid w:val="00602882"/>
    <w:rsid w:val="006261B8"/>
    <w:rsid w:val="00630EC8"/>
    <w:rsid w:val="006375AB"/>
    <w:rsid w:val="00646039"/>
    <w:rsid w:val="00650B39"/>
    <w:rsid w:val="0065383C"/>
    <w:rsid w:val="006542A1"/>
    <w:rsid w:val="00654C95"/>
    <w:rsid w:val="006608C4"/>
    <w:rsid w:val="00663246"/>
    <w:rsid w:val="006632AA"/>
    <w:rsid w:val="00663BE4"/>
    <w:rsid w:val="0068137A"/>
    <w:rsid w:val="00684662"/>
    <w:rsid w:val="0069139C"/>
    <w:rsid w:val="0069317E"/>
    <w:rsid w:val="006C366A"/>
    <w:rsid w:val="006C53E7"/>
    <w:rsid w:val="006C670E"/>
    <w:rsid w:val="006C686E"/>
    <w:rsid w:val="006D3B97"/>
    <w:rsid w:val="006E00BF"/>
    <w:rsid w:val="006E19AB"/>
    <w:rsid w:val="006E6E25"/>
    <w:rsid w:val="006F145F"/>
    <w:rsid w:val="006F1BE9"/>
    <w:rsid w:val="006F1E87"/>
    <w:rsid w:val="00713080"/>
    <w:rsid w:val="0072230D"/>
    <w:rsid w:val="00723EA8"/>
    <w:rsid w:val="00731276"/>
    <w:rsid w:val="00731EC0"/>
    <w:rsid w:val="0073289E"/>
    <w:rsid w:val="007355A6"/>
    <w:rsid w:val="00742D5C"/>
    <w:rsid w:val="0074773F"/>
    <w:rsid w:val="00754B46"/>
    <w:rsid w:val="00756FA2"/>
    <w:rsid w:val="00762546"/>
    <w:rsid w:val="00762B91"/>
    <w:rsid w:val="00767F1E"/>
    <w:rsid w:val="0077447F"/>
    <w:rsid w:val="007747EA"/>
    <w:rsid w:val="00784C17"/>
    <w:rsid w:val="00785329"/>
    <w:rsid w:val="00785E13"/>
    <w:rsid w:val="0079095E"/>
    <w:rsid w:val="00794962"/>
    <w:rsid w:val="007A2F60"/>
    <w:rsid w:val="007A6D34"/>
    <w:rsid w:val="007B4419"/>
    <w:rsid w:val="007B4424"/>
    <w:rsid w:val="007C17D6"/>
    <w:rsid w:val="007D0AC7"/>
    <w:rsid w:val="007D1477"/>
    <w:rsid w:val="007D47AC"/>
    <w:rsid w:val="007D681E"/>
    <w:rsid w:val="007E2931"/>
    <w:rsid w:val="007E3832"/>
    <w:rsid w:val="007F40B1"/>
    <w:rsid w:val="007F4B56"/>
    <w:rsid w:val="007F6507"/>
    <w:rsid w:val="00801EB7"/>
    <w:rsid w:val="00812D64"/>
    <w:rsid w:val="00813CA7"/>
    <w:rsid w:val="008143E3"/>
    <w:rsid w:val="008147E4"/>
    <w:rsid w:val="008231D1"/>
    <w:rsid w:val="00824DF7"/>
    <w:rsid w:val="008254DF"/>
    <w:rsid w:val="00826041"/>
    <w:rsid w:val="008272E7"/>
    <w:rsid w:val="0083394A"/>
    <w:rsid w:val="008356AE"/>
    <w:rsid w:val="008377C6"/>
    <w:rsid w:val="008400DC"/>
    <w:rsid w:val="008458E1"/>
    <w:rsid w:val="00852174"/>
    <w:rsid w:val="00861D53"/>
    <w:rsid w:val="00864420"/>
    <w:rsid w:val="0086684B"/>
    <w:rsid w:val="00872913"/>
    <w:rsid w:val="0087311D"/>
    <w:rsid w:val="0087606C"/>
    <w:rsid w:val="008768DA"/>
    <w:rsid w:val="0089320E"/>
    <w:rsid w:val="008962BF"/>
    <w:rsid w:val="008A06E2"/>
    <w:rsid w:val="008A2904"/>
    <w:rsid w:val="008A2C16"/>
    <w:rsid w:val="008B5B71"/>
    <w:rsid w:val="008C568D"/>
    <w:rsid w:val="008C73C3"/>
    <w:rsid w:val="008D5C54"/>
    <w:rsid w:val="008D5E7C"/>
    <w:rsid w:val="008D6B72"/>
    <w:rsid w:val="008E55D7"/>
    <w:rsid w:val="008E6298"/>
    <w:rsid w:val="008E6B50"/>
    <w:rsid w:val="008E6DD4"/>
    <w:rsid w:val="008E6E6D"/>
    <w:rsid w:val="008F1DB9"/>
    <w:rsid w:val="008F22CE"/>
    <w:rsid w:val="00903022"/>
    <w:rsid w:val="009110C4"/>
    <w:rsid w:val="00914983"/>
    <w:rsid w:val="0092098F"/>
    <w:rsid w:val="00920F46"/>
    <w:rsid w:val="00926019"/>
    <w:rsid w:val="00937A00"/>
    <w:rsid w:val="00952FAB"/>
    <w:rsid w:val="00955E42"/>
    <w:rsid w:val="009563FC"/>
    <w:rsid w:val="0097111B"/>
    <w:rsid w:val="009719B3"/>
    <w:rsid w:val="00971BF3"/>
    <w:rsid w:val="00974AE5"/>
    <w:rsid w:val="009803E4"/>
    <w:rsid w:val="00985B67"/>
    <w:rsid w:val="00994AD9"/>
    <w:rsid w:val="009966E4"/>
    <w:rsid w:val="009978B9"/>
    <w:rsid w:val="009A514C"/>
    <w:rsid w:val="009A79EF"/>
    <w:rsid w:val="009B1DD7"/>
    <w:rsid w:val="009B2A2F"/>
    <w:rsid w:val="009B792B"/>
    <w:rsid w:val="009B7C69"/>
    <w:rsid w:val="009C0B96"/>
    <w:rsid w:val="009C3576"/>
    <w:rsid w:val="009C3892"/>
    <w:rsid w:val="009C38D6"/>
    <w:rsid w:val="009C7C3A"/>
    <w:rsid w:val="009E09A8"/>
    <w:rsid w:val="009E14C5"/>
    <w:rsid w:val="009E2B6A"/>
    <w:rsid w:val="009E3D26"/>
    <w:rsid w:val="009E4279"/>
    <w:rsid w:val="009E5ACF"/>
    <w:rsid w:val="009F0F68"/>
    <w:rsid w:val="009F26D5"/>
    <w:rsid w:val="009F6A36"/>
    <w:rsid w:val="00A0024E"/>
    <w:rsid w:val="00A02C1D"/>
    <w:rsid w:val="00A05971"/>
    <w:rsid w:val="00A1489E"/>
    <w:rsid w:val="00A200EB"/>
    <w:rsid w:val="00A2030B"/>
    <w:rsid w:val="00A25D1E"/>
    <w:rsid w:val="00A31662"/>
    <w:rsid w:val="00A34704"/>
    <w:rsid w:val="00A351ED"/>
    <w:rsid w:val="00A44295"/>
    <w:rsid w:val="00A448BA"/>
    <w:rsid w:val="00A5292E"/>
    <w:rsid w:val="00A56C60"/>
    <w:rsid w:val="00A57CE6"/>
    <w:rsid w:val="00A62308"/>
    <w:rsid w:val="00A651C1"/>
    <w:rsid w:val="00A736AF"/>
    <w:rsid w:val="00A76D58"/>
    <w:rsid w:val="00A77CC2"/>
    <w:rsid w:val="00A82737"/>
    <w:rsid w:val="00A84924"/>
    <w:rsid w:val="00A869CC"/>
    <w:rsid w:val="00A873C0"/>
    <w:rsid w:val="00A87FB7"/>
    <w:rsid w:val="00A95BEB"/>
    <w:rsid w:val="00AA005B"/>
    <w:rsid w:val="00AA03A9"/>
    <w:rsid w:val="00AA6394"/>
    <w:rsid w:val="00AA67A6"/>
    <w:rsid w:val="00AB230C"/>
    <w:rsid w:val="00AB3CE0"/>
    <w:rsid w:val="00AC64AF"/>
    <w:rsid w:val="00AD4C49"/>
    <w:rsid w:val="00AE25C7"/>
    <w:rsid w:val="00AF164D"/>
    <w:rsid w:val="00AF2CB6"/>
    <w:rsid w:val="00AF4EBD"/>
    <w:rsid w:val="00AF5FE9"/>
    <w:rsid w:val="00B010F4"/>
    <w:rsid w:val="00B20505"/>
    <w:rsid w:val="00B2294E"/>
    <w:rsid w:val="00B24773"/>
    <w:rsid w:val="00B2657F"/>
    <w:rsid w:val="00B34EF7"/>
    <w:rsid w:val="00B3536C"/>
    <w:rsid w:val="00B35414"/>
    <w:rsid w:val="00B42634"/>
    <w:rsid w:val="00B530BA"/>
    <w:rsid w:val="00B62FFC"/>
    <w:rsid w:val="00B64EFD"/>
    <w:rsid w:val="00B65B9D"/>
    <w:rsid w:val="00B71504"/>
    <w:rsid w:val="00B77013"/>
    <w:rsid w:val="00B778A0"/>
    <w:rsid w:val="00B8073D"/>
    <w:rsid w:val="00B82527"/>
    <w:rsid w:val="00B900A8"/>
    <w:rsid w:val="00B904FB"/>
    <w:rsid w:val="00B914C2"/>
    <w:rsid w:val="00B962DA"/>
    <w:rsid w:val="00BA0735"/>
    <w:rsid w:val="00BA39E9"/>
    <w:rsid w:val="00BA7048"/>
    <w:rsid w:val="00BA7D63"/>
    <w:rsid w:val="00BC0806"/>
    <w:rsid w:val="00BC3FDB"/>
    <w:rsid w:val="00BC6118"/>
    <w:rsid w:val="00BD1D8C"/>
    <w:rsid w:val="00BD3D1A"/>
    <w:rsid w:val="00BD4900"/>
    <w:rsid w:val="00BD7D69"/>
    <w:rsid w:val="00BE514C"/>
    <w:rsid w:val="00BE6902"/>
    <w:rsid w:val="00BE793A"/>
    <w:rsid w:val="00BE7B8C"/>
    <w:rsid w:val="00BF6C57"/>
    <w:rsid w:val="00C02FA3"/>
    <w:rsid w:val="00C034DA"/>
    <w:rsid w:val="00C03EFE"/>
    <w:rsid w:val="00C0652C"/>
    <w:rsid w:val="00C06CD6"/>
    <w:rsid w:val="00C1277B"/>
    <w:rsid w:val="00C20C57"/>
    <w:rsid w:val="00C2459B"/>
    <w:rsid w:val="00C26238"/>
    <w:rsid w:val="00C34D5C"/>
    <w:rsid w:val="00C40916"/>
    <w:rsid w:val="00C44AA6"/>
    <w:rsid w:val="00C53EEC"/>
    <w:rsid w:val="00C55D16"/>
    <w:rsid w:val="00C61ADA"/>
    <w:rsid w:val="00C62766"/>
    <w:rsid w:val="00C67580"/>
    <w:rsid w:val="00C70FA0"/>
    <w:rsid w:val="00C752C6"/>
    <w:rsid w:val="00C752F7"/>
    <w:rsid w:val="00C80522"/>
    <w:rsid w:val="00C8072D"/>
    <w:rsid w:val="00C84B11"/>
    <w:rsid w:val="00C920CF"/>
    <w:rsid w:val="00C958EB"/>
    <w:rsid w:val="00CA6E27"/>
    <w:rsid w:val="00CE09FB"/>
    <w:rsid w:val="00CE2CB7"/>
    <w:rsid w:val="00CE67F1"/>
    <w:rsid w:val="00CE6B4F"/>
    <w:rsid w:val="00CF255C"/>
    <w:rsid w:val="00D035EB"/>
    <w:rsid w:val="00D03922"/>
    <w:rsid w:val="00D05223"/>
    <w:rsid w:val="00D07860"/>
    <w:rsid w:val="00D13458"/>
    <w:rsid w:val="00D15787"/>
    <w:rsid w:val="00D21CB4"/>
    <w:rsid w:val="00D2686A"/>
    <w:rsid w:val="00D27848"/>
    <w:rsid w:val="00D303EA"/>
    <w:rsid w:val="00D3056C"/>
    <w:rsid w:val="00D34879"/>
    <w:rsid w:val="00D356D7"/>
    <w:rsid w:val="00D42530"/>
    <w:rsid w:val="00D42968"/>
    <w:rsid w:val="00D454B7"/>
    <w:rsid w:val="00D47CAA"/>
    <w:rsid w:val="00D51D6C"/>
    <w:rsid w:val="00D53F1B"/>
    <w:rsid w:val="00D54987"/>
    <w:rsid w:val="00D568BC"/>
    <w:rsid w:val="00D73EB9"/>
    <w:rsid w:val="00D751D5"/>
    <w:rsid w:val="00D76726"/>
    <w:rsid w:val="00D82993"/>
    <w:rsid w:val="00D82EBE"/>
    <w:rsid w:val="00D842F2"/>
    <w:rsid w:val="00D84437"/>
    <w:rsid w:val="00D872F1"/>
    <w:rsid w:val="00D90412"/>
    <w:rsid w:val="00D919F3"/>
    <w:rsid w:val="00D95765"/>
    <w:rsid w:val="00D95D3A"/>
    <w:rsid w:val="00D974FA"/>
    <w:rsid w:val="00DA5C28"/>
    <w:rsid w:val="00DA7570"/>
    <w:rsid w:val="00DB00CB"/>
    <w:rsid w:val="00DB4061"/>
    <w:rsid w:val="00DC033B"/>
    <w:rsid w:val="00DC10D2"/>
    <w:rsid w:val="00DC19C7"/>
    <w:rsid w:val="00DC319D"/>
    <w:rsid w:val="00DC3BB5"/>
    <w:rsid w:val="00DD277C"/>
    <w:rsid w:val="00DD4739"/>
    <w:rsid w:val="00DE7031"/>
    <w:rsid w:val="00DF3C29"/>
    <w:rsid w:val="00DF4480"/>
    <w:rsid w:val="00DF47C8"/>
    <w:rsid w:val="00DF497C"/>
    <w:rsid w:val="00DF58C2"/>
    <w:rsid w:val="00E029A4"/>
    <w:rsid w:val="00E0344E"/>
    <w:rsid w:val="00E07398"/>
    <w:rsid w:val="00E1012C"/>
    <w:rsid w:val="00E169B9"/>
    <w:rsid w:val="00E1776B"/>
    <w:rsid w:val="00E206D7"/>
    <w:rsid w:val="00E24DB7"/>
    <w:rsid w:val="00E303E8"/>
    <w:rsid w:val="00E370A5"/>
    <w:rsid w:val="00E3763D"/>
    <w:rsid w:val="00E40270"/>
    <w:rsid w:val="00E4398E"/>
    <w:rsid w:val="00E46F9B"/>
    <w:rsid w:val="00E50BE7"/>
    <w:rsid w:val="00E56862"/>
    <w:rsid w:val="00E60161"/>
    <w:rsid w:val="00E62866"/>
    <w:rsid w:val="00E654D5"/>
    <w:rsid w:val="00E658E7"/>
    <w:rsid w:val="00E70426"/>
    <w:rsid w:val="00E727FC"/>
    <w:rsid w:val="00E72C90"/>
    <w:rsid w:val="00E7747D"/>
    <w:rsid w:val="00E82245"/>
    <w:rsid w:val="00E91E20"/>
    <w:rsid w:val="00E94C48"/>
    <w:rsid w:val="00EA0D1D"/>
    <w:rsid w:val="00EA7B1B"/>
    <w:rsid w:val="00EB22DA"/>
    <w:rsid w:val="00EB29B7"/>
    <w:rsid w:val="00EC59B0"/>
    <w:rsid w:val="00ED495F"/>
    <w:rsid w:val="00EE1328"/>
    <w:rsid w:val="00EE4482"/>
    <w:rsid w:val="00EE4EF2"/>
    <w:rsid w:val="00EF07BC"/>
    <w:rsid w:val="00EF18BA"/>
    <w:rsid w:val="00EF1B2B"/>
    <w:rsid w:val="00F14E4C"/>
    <w:rsid w:val="00F152C9"/>
    <w:rsid w:val="00F165E3"/>
    <w:rsid w:val="00F21017"/>
    <w:rsid w:val="00F4722F"/>
    <w:rsid w:val="00F477C4"/>
    <w:rsid w:val="00F5443C"/>
    <w:rsid w:val="00F55D35"/>
    <w:rsid w:val="00F579E8"/>
    <w:rsid w:val="00F6270E"/>
    <w:rsid w:val="00F65697"/>
    <w:rsid w:val="00F71124"/>
    <w:rsid w:val="00F719B6"/>
    <w:rsid w:val="00F72ED2"/>
    <w:rsid w:val="00F802E1"/>
    <w:rsid w:val="00F823A6"/>
    <w:rsid w:val="00F82E8B"/>
    <w:rsid w:val="00F85853"/>
    <w:rsid w:val="00F85A09"/>
    <w:rsid w:val="00F86329"/>
    <w:rsid w:val="00F8791C"/>
    <w:rsid w:val="00F95641"/>
    <w:rsid w:val="00FA16AE"/>
    <w:rsid w:val="00FA50D1"/>
    <w:rsid w:val="00FA6682"/>
    <w:rsid w:val="00FB330E"/>
    <w:rsid w:val="00FB51AC"/>
    <w:rsid w:val="00FC1B8D"/>
    <w:rsid w:val="00FD0009"/>
    <w:rsid w:val="00FD0929"/>
    <w:rsid w:val="00FD10F2"/>
    <w:rsid w:val="00FDC14F"/>
    <w:rsid w:val="00FE18DF"/>
    <w:rsid w:val="00FF1F04"/>
    <w:rsid w:val="00FF2664"/>
    <w:rsid w:val="00FF2D03"/>
    <w:rsid w:val="00FF3E79"/>
    <w:rsid w:val="00FF68A9"/>
    <w:rsid w:val="011BF5FE"/>
    <w:rsid w:val="01799A89"/>
    <w:rsid w:val="0187498B"/>
    <w:rsid w:val="0272BA51"/>
    <w:rsid w:val="028A1DD6"/>
    <w:rsid w:val="028AB3BE"/>
    <w:rsid w:val="02B47F7A"/>
    <w:rsid w:val="02DA9728"/>
    <w:rsid w:val="0353716D"/>
    <w:rsid w:val="038B2899"/>
    <w:rsid w:val="038DEB20"/>
    <w:rsid w:val="041F60E2"/>
    <w:rsid w:val="0427EA69"/>
    <w:rsid w:val="04798EB7"/>
    <w:rsid w:val="04A272FE"/>
    <w:rsid w:val="04B46E0C"/>
    <w:rsid w:val="04D0C734"/>
    <w:rsid w:val="050DC700"/>
    <w:rsid w:val="0550A78A"/>
    <w:rsid w:val="0564CCAC"/>
    <w:rsid w:val="0564FF7D"/>
    <w:rsid w:val="06192856"/>
    <w:rsid w:val="063B395D"/>
    <w:rsid w:val="064A7C7C"/>
    <w:rsid w:val="06A65281"/>
    <w:rsid w:val="06EC77EB"/>
    <w:rsid w:val="06F4D23F"/>
    <w:rsid w:val="073EA390"/>
    <w:rsid w:val="0764C5C5"/>
    <w:rsid w:val="076BA112"/>
    <w:rsid w:val="07C0887E"/>
    <w:rsid w:val="083201DC"/>
    <w:rsid w:val="08420DC3"/>
    <w:rsid w:val="09187A74"/>
    <w:rsid w:val="091EB2B2"/>
    <w:rsid w:val="092ABC02"/>
    <w:rsid w:val="093B605C"/>
    <w:rsid w:val="09E6B941"/>
    <w:rsid w:val="09F8FEBF"/>
    <w:rsid w:val="0A364B82"/>
    <w:rsid w:val="0A37D8A2"/>
    <w:rsid w:val="0A48E229"/>
    <w:rsid w:val="0AA5FA2A"/>
    <w:rsid w:val="0B06EFCB"/>
    <w:rsid w:val="0BF29362"/>
    <w:rsid w:val="0C1F90E4"/>
    <w:rsid w:val="0C6C4288"/>
    <w:rsid w:val="0C6C7559"/>
    <w:rsid w:val="0CF70E39"/>
    <w:rsid w:val="0D22FB17"/>
    <w:rsid w:val="0D3AF484"/>
    <w:rsid w:val="0D648D6F"/>
    <w:rsid w:val="0D922D01"/>
    <w:rsid w:val="0DF27B25"/>
    <w:rsid w:val="0DF934F7"/>
    <w:rsid w:val="0E151E11"/>
    <w:rsid w:val="0E2300B3"/>
    <w:rsid w:val="0E44218D"/>
    <w:rsid w:val="0E491861"/>
    <w:rsid w:val="0EBA9D93"/>
    <w:rsid w:val="0ECFA1A8"/>
    <w:rsid w:val="0EF20337"/>
    <w:rsid w:val="0F4A03B8"/>
    <w:rsid w:val="0F8319A6"/>
    <w:rsid w:val="0F835B42"/>
    <w:rsid w:val="0FD30BDB"/>
    <w:rsid w:val="0FD33EAC"/>
    <w:rsid w:val="108AA6B5"/>
    <w:rsid w:val="11EEE456"/>
    <w:rsid w:val="12561F1D"/>
    <w:rsid w:val="12756D9D"/>
    <w:rsid w:val="12C51E36"/>
    <w:rsid w:val="130E83E6"/>
    <w:rsid w:val="13618073"/>
    <w:rsid w:val="136E5A94"/>
    <w:rsid w:val="139B8AE7"/>
    <w:rsid w:val="13C8BB3A"/>
    <w:rsid w:val="13CD75E1"/>
    <w:rsid w:val="1438A82D"/>
    <w:rsid w:val="14B3F92F"/>
    <w:rsid w:val="14B6EE87"/>
    <w:rsid w:val="14CCE104"/>
    <w:rsid w:val="14E3EC09"/>
    <w:rsid w:val="153B5757"/>
    <w:rsid w:val="1560CCF5"/>
    <w:rsid w:val="157A59F9"/>
    <w:rsid w:val="158A330F"/>
    <w:rsid w:val="158A65E0"/>
    <w:rsid w:val="15A724AA"/>
    <w:rsid w:val="15B76362"/>
    <w:rsid w:val="15D4788E"/>
    <w:rsid w:val="1683B879"/>
    <w:rsid w:val="17095A4B"/>
    <w:rsid w:val="17835873"/>
    <w:rsid w:val="17910775"/>
    <w:rsid w:val="17DAC3C1"/>
    <w:rsid w:val="1893D9AA"/>
    <w:rsid w:val="18A975BD"/>
    <w:rsid w:val="18BE3D64"/>
    <w:rsid w:val="18D30EA8"/>
    <w:rsid w:val="1952E4EC"/>
    <w:rsid w:val="195EAD94"/>
    <w:rsid w:val="1978F17C"/>
    <w:rsid w:val="1A0788FE"/>
    <w:rsid w:val="1A291ECC"/>
    <w:rsid w:val="1A41CA8E"/>
    <w:rsid w:val="1A834CA1"/>
    <w:rsid w:val="1ADA851E"/>
    <w:rsid w:val="1B1784EA"/>
    <w:rsid w:val="1B41BFE5"/>
    <w:rsid w:val="1B59B952"/>
    <w:rsid w:val="1C22E640"/>
    <w:rsid w:val="1C42C8B1"/>
    <w:rsid w:val="1C7BEE51"/>
    <w:rsid w:val="1CB45C02"/>
    <w:rsid w:val="1D48617A"/>
    <w:rsid w:val="1E33D240"/>
    <w:rsid w:val="1EC57AD3"/>
    <w:rsid w:val="1F2C82C9"/>
    <w:rsid w:val="1F3479EC"/>
    <w:rsid w:val="1F451E46"/>
    <w:rsid w:val="20095877"/>
    <w:rsid w:val="200A8E07"/>
    <w:rsid w:val="203271B5"/>
    <w:rsid w:val="20B6B2B1"/>
    <w:rsid w:val="20E3E304"/>
    <w:rsid w:val="2125E49B"/>
    <w:rsid w:val="21656DB2"/>
    <w:rsid w:val="221E9524"/>
    <w:rsid w:val="22294ECE"/>
    <w:rsid w:val="22D0CFDD"/>
    <w:rsid w:val="232CB901"/>
    <w:rsid w:val="23C56ACB"/>
    <w:rsid w:val="23CC1096"/>
    <w:rsid w:val="240325B2"/>
    <w:rsid w:val="242CBE9D"/>
    <w:rsid w:val="2432E5BB"/>
    <w:rsid w:val="24A4818F"/>
    <w:rsid w:val="24C45B7D"/>
    <w:rsid w:val="24D95F92"/>
    <w:rsid w:val="24E2CE25"/>
    <w:rsid w:val="24ECF12D"/>
    <w:rsid w:val="251BB88E"/>
    <w:rsid w:val="2521BA7D"/>
    <w:rsid w:val="2521F7FB"/>
    <w:rsid w:val="25DCC9C5"/>
    <w:rsid w:val="2600DFCA"/>
    <w:rsid w:val="26069581"/>
    <w:rsid w:val="261B2F65"/>
    <w:rsid w:val="26C83A8B"/>
    <w:rsid w:val="26DDA442"/>
    <w:rsid w:val="2743F7B8"/>
    <w:rsid w:val="27E39E2B"/>
    <w:rsid w:val="28068413"/>
    <w:rsid w:val="28134108"/>
    <w:rsid w:val="2822DD3B"/>
    <w:rsid w:val="28A1DE9E"/>
    <w:rsid w:val="28B9D80B"/>
    <w:rsid w:val="28ED0ADE"/>
    <w:rsid w:val="2963B679"/>
    <w:rsid w:val="2978187E"/>
    <w:rsid w:val="29A3DB2A"/>
    <w:rsid w:val="29AF1169"/>
    <w:rsid w:val="2AA5BDAC"/>
    <w:rsid w:val="2AA8B304"/>
    <w:rsid w:val="2AD5E357"/>
    <w:rsid w:val="2B8417E3"/>
    <w:rsid w:val="2B93F0F9"/>
    <w:rsid w:val="2C7F9490"/>
    <w:rsid w:val="2C8D7663"/>
    <w:rsid w:val="2CF02782"/>
    <w:rsid w:val="2D260E67"/>
    <w:rsid w:val="2D8D165D"/>
    <w:rsid w:val="2E5905D2"/>
    <w:rsid w:val="2F0DFE32"/>
    <w:rsid w:val="2F3A91CF"/>
    <w:rsid w:val="2F44A969"/>
    <w:rsid w:val="2F5CA2D6"/>
    <w:rsid w:val="2F82C50B"/>
    <w:rsid w:val="3032DCB6"/>
    <w:rsid w:val="3075111E"/>
    <w:rsid w:val="308D0A8B"/>
    <w:rsid w:val="30E44308"/>
    <w:rsid w:val="312B0438"/>
    <w:rsid w:val="3144D5D3"/>
    <w:rsid w:val="314B7DCF"/>
    <w:rsid w:val="317516BA"/>
    <w:rsid w:val="31A0FAF1"/>
    <w:rsid w:val="320CA3D4"/>
    <w:rsid w:val="321343BE"/>
    <w:rsid w:val="321408AD"/>
    <w:rsid w:val="322CA42A"/>
    <w:rsid w:val="32D57149"/>
    <w:rsid w:val="3322922C"/>
    <w:rsid w:val="332A6B96"/>
    <w:rsid w:val="3410C579"/>
    <w:rsid w:val="353E37D6"/>
    <w:rsid w:val="3540FA5D"/>
    <w:rsid w:val="35C0D0A1"/>
    <w:rsid w:val="35C783A4"/>
    <w:rsid w:val="36446490"/>
    <w:rsid w:val="36895AF9"/>
    <w:rsid w:val="36A946EB"/>
    <w:rsid w:val="36B3967A"/>
    <w:rsid w:val="36C0709B"/>
    <w:rsid w:val="36DFF1EC"/>
    <w:rsid w:val="371A6B9F"/>
    <w:rsid w:val="373B962C"/>
    <w:rsid w:val="38060F36"/>
    <w:rsid w:val="38330CB8"/>
    <w:rsid w:val="383CDE78"/>
    <w:rsid w:val="38CC7000"/>
    <w:rsid w:val="38DA272F"/>
    <w:rsid w:val="38DC7BE7"/>
    <w:rsid w:val="393676EB"/>
    <w:rsid w:val="394458BE"/>
    <w:rsid w:val="39D5CE80"/>
    <w:rsid w:val="3A086086"/>
    <w:rsid w:val="3A1E762C"/>
    <w:rsid w:val="3A97F392"/>
    <w:rsid w:val="3ABD35D8"/>
    <w:rsid w:val="3ACB240F"/>
    <w:rsid w:val="3AE31D7C"/>
    <w:rsid w:val="3BA15DEF"/>
    <w:rsid w:val="3BBE825B"/>
    <w:rsid w:val="3BD72764"/>
    <w:rsid w:val="3C78A826"/>
    <w:rsid w:val="3CAF455E"/>
    <w:rsid w:val="3CE9BF11"/>
    <w:rsid w:val="3D06E37D"/>
    <w:rsid w:val="3D7B34D3"/>
    <w:rsid w:val="3DD562A8"/>
    <w:rsid w:val="3E1041FD"/>
    <w:rsid w:val="3E2C9B25"/>
    <w:rsid w:val="3E43F282"/>
    <w:rsid w:val="3E59D58A"/>
    <w:rsid w:val="3E6D92C7"/>
    <w:rsid w:val="3E93D5EC"/>
    <w:rsid w:val="3EABCF59"/>
    <w:rsid w:val="3EC0D36E"/>
    <w:rsid w:val="3F970D4E"/>
    <w:rsid w:val="3FDBD16C"/>
    <w:rsid w:val="3FEA5B62"/>
    <w:rsid w:val="413604DD"/>
    <w:rsid w:val="417B2E9D"/>
    <w:rsid w:val="419DE1B4"/>
    <w:rsid w:val="4202F6BE"/>
    <w:rsid w:val="42868FF3"/>
    <w:rsid w:val="4289527A"/>
    <w:rsid w:val="42E448F7"/>
    <w:rsid w:val="44216435"/>
    <w:rsid w:val="442AF1C3"/>
    <w:rsid w:val="4435F90B"/>
    <w:rsid w:val="443C93ED"/>
    <w:rsid w:val="446066D7"/>
    <w:rsid w:val="4477FAA2"/>
    <w:rsid w:val="447AEFFA"/>
    <w:rsid w:val="448CC249"/>
    <w:rsid w:val="448FF40F"/>
    <w:rsid w:val="455A7D4B"/>
    <w:rsid w:val="45905B8C"/>
    <w:rsid w:val="45D6D35F"/>
    <w:rsid w:val="45F798BB"/>
    <w:rsid w:val="467ECF08"/>
    <w:rsid w:val="46A9AC88"/>
    <w:rsid w:val="46EE00F2"/>
    <w:rsid w:val="47283E37"/>
    <w:rsid w:val="47553BB9"/>
    <w:rsid w:val="475D4ED2"/>
    <w:rsid w:val="4784FBC2"/>
    <w:rsid w:val="478B23E2"/>
    <w:rsid w:val="479A32A8"/>
    <w:rsid w:val="47A4EC52"/>
    <w:rsid w:val="47A7190E"/>
    <w:rsid w:val="47EACC4E"/>
    <w:rsid w:val="4803C050"/>
    <w:rsid w:val="481DC697"/>
    <w:rsid w:val="48436F06"/>
    <w:rsid w:val="4858A5EC"/>
    <w:rsid w:val="4901E24A"/>
    <w:rsid w:val="492EDFCC"/>
    <w:rsid w:val="4958AB88"/>
    <w:rsid w:val="49F6A256"/>
    <w:rsid w:val="49F79D7B"/>
    <w:rsid w:val="4A1A5092"/>
    <w:rsid w:val="4A640CDE"/>
    <w:rsid w:val="4A93FFB8"/>
    <w:rsid w:val="4AC38CF0"/>
    <w:rsid w:val="4B1D87F4"/>
    <w:rsid w:val="4B4AB847"/>
    <w:rsid w:val="4B589A1A"/>
    <w:rsid w:val="4CBD5464"/>
    <w:rsid w:val="4CBEED24"/>
    <w:rsid w:val="4CCA2E85"/>
    <w:rsid w:val="4CF75ED8"/>
    <w:rsid w:val="4D0C62ED"/>
    <w:rsid w:val="4D6520B7"/>
    <w:rsid w:val="4D861213"/>
    <w:rsid w:val="4E05B586"/>
    <w:rsid w:val="4E12C278"/>
    <w:rsid w:val="4E769F69"/>
    <w:rsid w:val="4E7D752B"/>
    <w:rsid w:val="4ED62DEA"/>
    <w:rsid w:val="4EE639D1"/>
    <w:rsid w:val="4EE66CA2"/>
    <w:rsid w:val="4FD7A9F1"/>
    <w:rsid w:val="4FDF8C6A"/>
    <w:rsid w:val="5062F3D9"/>
    <w:rsid w:val="506A2CF4"/>
    <w:rsid w:val="50C010B5"/>
    <w:rsid w:val="50DF2C64"/>
    <w:rsid w:val="50ECDB66"/>
    <w:rsid w:val="5104D4D3"/>
    <w:rsid w:val="51056F22"/>
    <w:rsid w:val="51E3793A"/>
    <w:rsid w:val="5296BF70"/>
    <w:rsid w:val="52B90348"/>
    <w:rsid w:val="52ED55DD"/>
    <w:rsid w:val="52F37CFB"/>
    <w:rsid w:val="53486014"/>
    <w:rsid w:val="5354FDEA"/>
    <w:rsid w:val="5384F2BD"/>
    <w:rsid w:val="53888A25"/>
    <w:rsid w:val="53B22310"/>
    <w:rsid w:val="53C72725"/>
    <w:rsid w:val="53DF2092"/>
    <w:rsid w:val="5419FFE7"/>
    <w:rsid w:val="54706383"/>
    <w:rsid w:val="549D93D6"/>
    <w:rsid w:val="54AB1B14"/>
    <w:rsid w:val="557EBA31"/>
    <w:rsid w:val="5588D1CB"/>
    <w:rsid w:val="55B8F776"/>
    <w:rsid w:val="560280F1"/>
    <w:rsid w:val="56A4029A"/>
    <w:rsid w:val="56A4356B"/>
    <w:rsid w:val="56A4683C"/>
    <w:rsid w:val="56B93980"/>
    <w:rsid w:val="56D0C358"/>
    <w:rsid w:val="57589115"/>
    <w:rsid w:val="57592EA6"/>
    <w:rsid w:val="576275DE"/>
    <w:rsid w:val="57F7D4CE"/>
    <w:rsid w:val="5809D0F5"/>
    <w:rsid w:val="58904DDD"/>
    <w:rsid w:val="58A0F237"/>
    <w:rsid w:val="58DFC208"/>
    <w:rsid w:val="591999AB"/>
    <w:rsid w:val="593E4346"/>
    <w:rsid w:val="59694A44"/>
    <w:rsid w:val="59967A97"/>
    <w:rsid w:val="599CB5D9"/>
    <w:rsid w:val="59A9BB5D"/>
    <w:rsid w:val="5A05AC81"/>
    <w:rsid w:val="5A2798C3"/>
    <w:rsid w:val="5A2B221F"/>
    <w:rsid w:val="5A513947"/>
    <w:rsid w:val="5A54EDDB"/>
    <w:rsid w:val="5AD7CD9B"/>
    <w:rsid w:val="5BE3BD56"/>
    <w:rsid w:val="5C1E8607"/>
    <w:rsid w:val="5C2E91EE"/>
    <w:rsid w:val="5C5B5C9F"/>
    <w:rsid w:val="5C64789C"/>
    <w:rsid w:val="5C7499F9"/>
    <w:rsid w:val="5C888CF2"/>
    <w:rsid w:val="5CC4B133"/>
    <w:rsid w:val="5D470036"/>
    <w:rsid w:val="5D5EF9A3"/>
    <w:rsid w:val="5D6ADD08"/>
    <w:rsid w:val="5DABAB47"/>
    <w:rsid w:val="5E1D3A16"/>
    <w:rsid w:val="5E278481"/>
    <w:rsid w:val="5E353383"/>
    <w:rsid w:val="5EA3F62E"/>
    <w:rsid w:val="5EF373F6"/>
    <w:rsid w:val="5F109862"/>
    <w:rsid w:val="5F389DB6"/>
    <w:rsid w:val="5F888120"/>
    <w:rsid w:val="5FDEB49F"/>
    <w:rsid w:val="603BD518"/>
    <w:rsid w:val="6112749A"/>
    <w:rsid w:val="612778AF"/>
    <w:rsid w:val="61625804"/>
    <w:rsid w:val="617EB12C"/>
    <w:rsid w:val="61A523E1"/>
    <w:rsid w:val="61B92800"/>
    <w:rsid w:val="61DCD4A7"/>
    <w:rsid w:val="6212E975"/>
    <w:rsid w:val="62AD2B2A"/>
    <w:rsid w:val="62C06117"/>
    <w:rsid w:val="62C7124E"/>
    <w:rsid w:val="62E92355"/>
    <w:rsid w:val="6320C738"/>
    <w:rsid w:val="633117F6"/>
    <w:rsid w:val="6393F705"/>
    <w:rsid w:val="63BD0050"/>
    <w:rsid w:val="63D78973"/>
    <w:rsid w:val="640486F5"/>
    <w:rsid w:val="646193A4"/>
    <w:rsid w:val="648C2C12"/>
    <w:rsid w:val="64DFEBD4"/>
    <w:rsid w:val="64EFF7BB"/>
    <w:rsid w:val="6504FBD0"/>
    <w:rsid w:val="65C36F14"/>
    <w:rsid w:val="65D2B127"/>
    <w:rsid w:val="65D8A5FA"/>
    <w:rsid w:val="65E94A54"/>
    <w:rsid w:val="65F798C2"/>
    <w:rsid w:val="665B3483"/>
    <w:rsid w:val="66F6CC21"/>
    <w:rsid w:val="6720650C"/>
    <w:rsid w:val="6737A9D5"/>
    <w:rsid w:val="6777E751"/>
    <w:rsid w:val="67880F12"/>
    <w:rsid w:val="6792FB8D"/>
    <w:rsid w:val="67B27CDE"/>
    <w:rsid w:val="67B4D9C3"/>
    <w:rsid w:val="68A07D5A"/>
    <w:rsid w:val="68C2C132"/>
    <w:rsid w:val="68CC906C"/>
    <w:rsid w:val="69D0E50F"/>
    <w:rsid w:val="69E8DE7C"/>
    <w:rsid w:val="6A4016F9"/>
    <w:rsid w:val="6AA71EEF"/>
    <w:rsid w:val="6AA751C0"/>
    <w:rsid w:val="6B6FDC9E"/>
    <w:rsid w:val="6B7D8BA0"/>
    <w:rsid w:val="6B88781B"/>
    <w:rsid w:val="6BB6960F"/>
    <w:rsid w:val="6C261309"/>
    <w:rsid w:val="6C80F5D3"/>
    <w:rsid w:val="6CAAC18F"/>
    <w:rsid w:val="6CBCB395"/>
    <w:rsid w:val="6CD0D93D"/>
    <w:rsid w:val="6D0489C2"/>
    <w:rsid w:val="6D49B382"/>
    <w:rsid w:val="6D624EFF"/>
    <w:rsid w:val="6D712BF6"/>
    <w:rsid w:val="6DA151A1"/>
    <w:rsid w:val="6DE615BF"/>
    <w:rsid w:val="6DF3C4C1"/>
    <w:rsid w:val="6E6F9DFB"/>
    <w:rsid w:val="6E9CCE4E"/>
    <w:rsid w:val="6EAAB021"/>
    <w:rsid w:val="6F040915"/>
    <w:rsid w:val="6F5E0419"/>
    <w:rsid w:val="6F637445"/>
    <w:rsid w:val="6F73082E"/>
    <w:rsid w:val="6F733AFF"/>
    <w:rsid w:val="6F79C10F"/>
    <w:rsid w:val="6F992B9A"/>
    <w:rsid w:val="700F6A6B"/>
    <w:rsid w:val="712A0ECF"/>
    <w:rsid w:val="7161E327"/>
    <w:rsid w:val="71E9414F"/>
    <w:rsid w:val="722843F1"/>
    <w:rsid w:val="72384FD8"/>
    <w:rsid w:val="732DD838"/>
    <w:rsid w:val="7331A271"/>
    <w:rsid w:val="73718380"/>
    <w:rsid w:val="741226BC"/>
    <w:rsid w:val="743D41FC"/>
    <w:rsid w:val="743EF16D"/>
    <w:rsid w:val="74739032"/>
    <w:rsid w:val="74FD31E0"/>
    <w:rsid w:val="756C275C"/>
    <w:rsid w:val="7580F8A0"/>
    <w:rsid w:val="75A886F1"/>
    <w:rsid w:val="75AE4AF8"/>
    <w:rsid w:val="75E8D577"/>
    <w:rsid w:val="7600CEE4"/>
    <w:rsid w:val="7618C851"/>
    <w:rsid w:val="761F394F"/>
    <w:rsid w:val="77040646"/>
    <w:rsid w:val="77043917"/>
    <w:rsid w:val="77193D2C"/>
    <w:rsid w:val="77313699"/>
    <w:rsid w:val="7759F670"/>
    <w:rsid w:val="77886F16"/>
    <w:rsid w:val="77C2798A"/>
    <w:rsid w:val="77C56EE2"/>
    <w:rsid w:val="77EFA9DD"/>
    <w:rsid w:val="78419092"/>
    <w:rsid w:val="78B834BB"/>
    <w:rsid w:val="78D0D038"/>
    <w:rsid w:val="790B0D7D"/>
    <w:rsid w:val="790BF20A"/>
    <w:rsid w:val="795496F8"/>
    <w:rsid w:val="796245FA"/>
    <w:rsid w:val="79682FC9"/>
    <w:rsid w:val="7A0B4F87"/>
    <w:rsid w:val="7A2B7D6F"/>
    <w:rsid w:val="7AB904CB"/>
    <w:rsid w:val="7ABFC1B8"/>
    <w:rsid w:val="7AE9A9BE"/>
    <w:rsid w:val="7BDA6CC1"/>
    <w:rsid w:val="7BE263E4"/>
    <w:rsid w:val="7BE5266B"/>
    <w:rsid w:val="7C204919"/>
    <w:rsid w:val="7C46A953"/>
    <w:rsid w:val="7C55A80A"/>
    <w:rsid w:val="7D57C288"/>
    <w:rsid w:val="7D677A6A"/>
    <w:rsid w:val="7D7D3826"/>
    <w:rsid w:val="7DA703E2"/>
    <w:rsid w:val="7DBEFD4F"/>
    <w:rsid w:val="7DD3CE93"/>
    <w:rsid w:val="7DEBFAD1"/>
    <w:rsid w:val="7E04C54A"/>
    <w:rsid w:val="7E29E3A2"/>
    <w:rsid w:val="7F80A7F5"/>
    <w:rsid w:val="7F986E91"/>
    <w:rsid w:val="7FAD72A6"/>
    <w:rsid w:val="7FDAA2F9"/>
    <w:rsid w:val="7FE884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efea"/>
    </o:shapedefaults>
    <o:shapelayout v:ext="edit">
      <o:idmap v:ext="edit" data="2"/>
    </o:shapelayout>
  </w:shapeDefaults>
  <w:decimalSymbol w:val="."/>
  <w:listSeparator w:val=","/>
  <w14:docId w14:val="59FF6821"/>
  <w14:defaultImageDpi w14:val="32767"/>
  <w15:chartTrackingRefBased/>
  <w15:docId w15:val="{AA771ABD-9726-40CF-9D12-341DC3B6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00204F"/>
    <w:pPr>
      <w:widowControl w:val="0"/>
      <w:tabs>
        <w:tab w:val="left" w:pos="170"/>
      </w:tabs>
      <w:suppressAutoHyphens/>
      <w:autoSpaceDE w:val="0"/>
      <w:autoSpaceDN w:val="0"/>
      <w:adjustRightInd w:val="0"/>
      <w:spacing w:after="113" w:line="220" w:lineRule="atLeast"/>
      <w:textAlignment w:val="center"/>
    </w:pPr>
    <w:rPr>
      <w:rFonts w:ascii="D-DIN" w:hAnsi="D-DIN" w:cs="TradeGothic-Light"/>
      <w:color w:val="000000"/>
      <w:spacing w:val="-2"/>
      <w:sz w:val="22"/>
    </w:rPr>
  </w:style>
  <w:style w:type="paragraph" w:styleId="Heading1">
    <w:name w:val="heading 1"/>
    <w:basedOn w:val="Aheading"/>
    <w:next w:val="Normal"/>
    <w:link w:val="Heading1Char"/>
    <w:uiPriority w:val="9"/>
    <w:qFormat/>
    <w:rsid w:val="00D919F3"/>
    <w:pPr>
      <w:outlineLvl w:val="0"/>
    </w:pPr>
  </w:style>
  <w:style w:type="paragraph" w:styleId="Heading2">
    <w:name w:val="heading 2"/>
    <w:basedOn w:val="Normal"/>
    <w:next w:val="Normal"/>
    <w:link w:val="Heading2Char"/>
    <w:autoRedefine/>
    <w:uiPriority w:val="9"/>
    <w:unhideWhenUsed/>
    <w:qFormat/>
    <w:rsid w:val="004C0E9D"/>
    <w:pPr>
      <w:spacing w:before="113" w:after="57" w:line="280" w:lineRule="atLeast"/>
      <w:outlineLvl w:val="1"/>
    </w:pPr>
    <w:rPr>
      <w:rFonts w:ascii="DIN-Bold" w:hAnsi="DIN-Bold" w:cs="Moon-Bold"/>
      <w:b/>
      <w:bCs/>
      <w:color w:val="034797"/>
      <w:sz w:val="32"/>
      <w:szCs w:val="32"/>
      <w:lang w:val="en-US"/>
    </w:rPr>
  </w:style>
  <w:style w:type="paragraph" w:styleId="Heading3">
    <w:name w:val="heading 3"/>
    <w:basedOn w:val="Normal"/>
    <w:next w:val="Normal"/>
    <w:link w:val="Heading3Char"/>
    <w:uiPriority w:val="9"/>
    <w:unhideWhenUsed/>
    <w:qFormat/>
    <w:rsid w:val="00D919F3"/>
    <w:pPr>
      <w:keepNext/>
      <w:keepLines/>
      <w:spacing w:before="40"/>
      <w:outlineLvl w:val="2"/>
    </w:pPr>
    <w:rPr>
      <w:rFonts w:ascii="DIN-Medium" w:hAnsi="DIN-Medium" w:eastAsiaTheme="majorEastAsia" w:cstheme="majorBidi"/>
      <w:color w:val="1F4D78" w:themeColor="accent1" w:themeShade="7F"/>
    </w:rPr>
  </w:style>
  <w:style w:type="paragraph" w:styleId="Heading4">
    <w:name w:val="heading 4"/>
    <w:basedOn w:val="Normal"/>
    <w:next w:val="Normal"/>
    <w:link w:val="Heading4Char"/>
    <w:uiPriority w:val="9"/>
    <w:semiHidden/>
    <w:unhideWhenUsed/>
    <w:qFormat/>
    <w:rsid w:val="00D919F3"/>
    <w:pPr>
      <w:keepNext/>
      <w:keepLines/>
      <w:spacing w:before="40" w:after="0"/>
      <w:outlineLvl w:val="3"/>
    </w:pPr>
    <w:rPr>
      <w:rFonts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semiHidden/>
    <w:rsid w:val="00D919F3"/>
    <w:rPr>
      <w:rFonts w:ascii="DIN-Regular" w:hAnsi="DIN-Regular" w:eastAsiaTheme="majorEastAsia" w:cstheme="majorBidi"/>
      <w:color w:val="2E74B5" w:themeColor="accent1" w:themeShade="BF"/>
      <w:spacing w:val="-2"/>
    </w:rPr>
  </w:style>
  <w:style w:type="paragraph" w:styleId="Title">
    <w:name w:val="Title"/>
    <w:basedOn w:val="Normal"/>
    <w:next w:val="Normal"/>
    <w:link w:val="TitleChar"/>
    <w:uiPriority w:val="10"/>
    <w:qFormat/>
    <w:rsid w:val="00D919F3"/>
    <w:pPr>
      <w:spacing w:after="0" w:line="240" w:lineRule="auto"/>
      <w:contextualSpacing/>
    </w:pPr>
    <w:rPr>
      <w:rFonts w:ascii="DIN-Bold" w:hAnsi="DIN-Bold" w:eastAsiaTheme="majorEastAsia" w:cstheme="majorBidi"/>
      <w:b/>
      <w:bCs/>
      <w:color w:val="auto"/>
      <w:spacing w:val="-10"/>
      <w:kern w:val="28"/>
      <w:sz w:val="56"/>
      <w:szCs w:val="56"/>
    </w:rPr>
  </w:style>
  <w:style w:type="character" w:styleId="TitleChar" w:customStyle="1">
    <w:name w:val="Title Char"/>
    <w:basedOn w:val="DefaultParagraphFont"/>
    <w:link w:val="Title"/>
    <w:uiPriority w:val="10"/>
    <w:rsid w:val="00D919F3"/>
    <w:rPr>
      <w:rFonts w:ascii="DIN-Bold" w:hAnsi="DIN-Bold" w:eastAsiaTheme="majorEastAsia" w:cstheme="majorBidi"/>
      <w:b/>
      <w:bCs/>
      <w:spacing w:val="-10"/>
      <w:kern w:val="28"/>
      <w:sz w:val="56"/>
      <w:szCs w:val="56"/>
    </w:rPr>
  </w:style>
  <w:style w:type="paragraph" w:styleId="Subtitle">
    <w:name w:val="Subtitle"/>
    <w:basedOn w:val="Normal"/>
    <w:next w:val="Normal"/>
    <w:link w:val="SubtitleChar"/>
    <w:uiPriority w:val="11"/>
    <w:qFormat/>
    <w:rsid w:val="00D919F3"/>
    <w:pPr>
      <w:numPr>
        <w:ilvl w:val="1"/>
      </w:numPr>
      <w:spacing w:after="160"/>
    </w:pPr>
    <w:rPr>
      <w:rFonts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D919F3"/>
    <w:rPr>
      <w:rFonts w:ascii="DIN-Regular" w:hAnsi="DIN-Regular" w:eastAsiaTheme="minorEastAsia"/>
      <w:color w:val="5A5A5A" w:themeColor="text1" w:themeTint="A5"/>
      <w:spacing w:val="15"/>
      <w:sz w:val="22"/>
      <w:szCs w:val="22"/>
    </w:rPr>
  </w:style>
  <w:style w:type="character" w:styleId="Emphasis">
    <w:name w:val="Emphasis"/>
    <w:basedOn w:val="DefaultParagraphFont"/>
    <w:uiPriority w:val="20"/>
    <w:qFormat/>
    <w:rsid w:val="00D919F3"/>
    <w:rPr>
      <w:rFonts w:ascii="DIN-Bold" w:hAnsi="DIN-Bold"/>
      <w:b/>
      <w:bCs/>
      <w:i w:val="0"/>
      <w:iCs w:val="0"/>
    </w:rPr>
  </w:style>
  <w:style w:type="paragraph" w:styleId="Aheading" w:customStyle="1">
    <w:name w:val="A heading"/>
    <w:basedOn w:val="Normal"/>
    <w:autoRedefine/>
    <w:qFormat/>
    <w:rsid w:val="00F5443C"/>
    <w:pPr>
      <w:spacing w:before="120" w:after="240" w:line="440" w:lineRule="exact"/>
    </w:pPr>
    <w:rPr>
      <w:rFonts w:ascii="DIN-Black" w:hAnsi="DIN-Black" w:cs="Moon-Bold"/>
      <w:b/>
      <w:bCs/>
      <w:color w:val="000000" w:themeColor="text1"/>
      <w:sz w:val="40"/>
      <w:szCs w:val="40"/>
      <w:lang w:val="en-US"/>
    </w:rPr>
  </w:style>
  <w:style w:type="character" w:styleId="Heading2Char" w:customStyle="1">
    <w:name w:val="Heading 2 Char"/>
    <w:basedOn w:val="DefaultParagraphFont"/>
    <w:link w:val="Heading2"/>
    <w:uiPriority w:val="9"/>
    <w:rsid w:val="004C0E9D"/>
    <w:rPr>
      <w:rFonts w:ascii="DIN-Bold" w:hAnsi="DIN-Bold" w:cs="Moon-Bold"/>
      <w:b/>
      <w:bCs/>
      <w:color w:val="034797"/>
      <w:spacing w:val="-2"/>
      <w:sz w:val="32"/>
      <w:szCs w:val="32"/>
      <w:lang w:val="en-US"/>
    </w:rPr>
  </w:style>
  <w:style w:type="character" w:styleId="IntenseEmphasis">
    <w:name w:val="Intense Emphasis"/>
    <w:basedOn w:val="DefaultParagraphFont"/>
    <w:uiPriority w:val="21"/>
    <w:qFormat/>
    <w:rsid w:val="00D919F3"/>
    <w:rPr>
      <w:rFonts w:ascii="DIN-Black" w:hAnsi="DIN-Black"/>
      <w:b/>
      <w:bCs/>
      <w:i w:val="0"/>
      <w:iCs w:val="0"/>
      <w:color w:val="5B9BD5" w:themeColor="accent1"/>
    </w:rPr>
  </w:style>
  <w:style w:type="character" w:styleId="Heading3Char" w:customStyle="1">
    <w:name w:val="Heading 3 Char"/>
    <w:basedOn w:val="DefaultParagraphFont"/>
    <w:link w:val="Heading3"/>
    <w:uiPriority w:val="9"/>
    <w:rsid w:val="00D919F3"/>
    <w:rPr>
      <w:rFonts w:ascii="DIN-Medium" w:hAnsi="DIN-Medium" w:eastAsiaTheme="majorEastAsia" w:cstheme="majorBidi"/>
      <w:color w:val="1F4D78" w:themeColor="accent1" w:themeShade="7F"/>
      <w:spacing w:val="-2"/>
    </w:rPr>
  </w:style>
  <w:style w:type="character" w:styleId="Heading1Char" w:customStyle="1">
    <w:name w:val="Heading 1 Char"/>
    <w:basedOn w:val="DefaultParagraphFont"/>
    <w:link w:val="Heading1"/>
    <w:uiPriority w:val="9"/>
    <w:rsid w:val="00D919F3"/>
    <w:rPr>
      <w:rFonts w:ascii="DIN-Black" w:hAnsi="DIN-Black" w:cs="Moon-Bold"/>
      <w:b/>
      <w:bCs/>
      <w:caps/>
      <w:color w:val="000000" w:themeColor="text1"/>
      <w:sz w:val="40"/>
      <w:szCs w:val="40"/>
      <w:lang w:val="en-US"/>
    </w:rPr>
  </w:style>
  <w:style w:type="character" w:styleId="Strong">
    <w:name w:val="Strong"/>
    <w:basedOn w:val="DefaultParagraphFont"/>
    <w:uiPriority w:val="22"/>
    <w:qFormat/>
    <w:rsid w:val="00D919F3"/>
    <w:rPr>
      <w:rFonts w:ascii="DIN-Medium" w:hAnsi="DIN-Medium"/>
      <w:b w:val="0"/>
      <w:bCs w:val="0"/>
      <w:i w:val="0"/>
      <w:iCs w:val="0"/>
    </w:rPr>
  </w:style>
  <w:style w:type="paragraph" w:styleId="Quote">
    <w:name w:val="Quote"/>
    <w:basedOn w:val="Normal"/>
    <w:next w:val="Normal"/>
    <w:link w:val="QuoteChar"/>
    <w:uiPriority w:val="29"/>
    <w:qFormat/>
    <w:rsid w:val="00D919F3"/>
    <w:pPr>
      <w:spacing w:before="200" w:after="160"/>
      <w:ind w:left="864" w:right="864"/>
      <w:jc w:val="center"/>
    </w:pPr>
    <w:rPr>
      <w:rFonts w:ascii="DIN OT" w:hAnsi="DIN OT"/>
      <w:i/>
      <w:iCs/>
      <w:color w:val="404040" w:themeColor="text1" w:themeTint="BF"/>
    </w:rPr>
  </w:style>
  <w:style w:type="character" w:styleId="QuoteChar" w:customStyle="1">
    <w:name w:val="Quote Char"/>
    <w:basedOn w:val="DefaultParagraphFont"/>
    <w:link w:val="Quote"/>
    <w:uiPriority w:val="29"/>
    <w:rsid w:val="00D919F3"/>
    <w:rPr>
      <w:rFonts w:ascii="DIN OT" w:hAnsi="DIN OT" w:cs="TradeGothic-Light"/>
      <w:i/>
      <w:iCs/>
      <w:color w:val="404040" w:themeColor="text1" w:themeTint="BF"/>
      <w:spacing w:val="-2"/>
    </w:rPr>
  </w:style>
  <w:style w:type="character" w:styleId="SubtleReference">
    <w:name w:val="Subtle Reference"/>
    <w:basedOn w:val="DefaultParagraphFont"/>
    <w:uiPriority w:val="31"/>
    <w:qFormat/>
    <w:rsid w:val="00D919F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D919F3"/>
    <w:rPr>
      <w:rFonts w:ascii="DIN-Medium" w:hAnsi="DIN-Medium"/>
      <w:b w:val="0"/>
      <w:bCs w:val="0"/>
      <w:i w:val="0"/>
      <w:iCs w:val="0"/>
      <w:smallCaps/>
      <w:color w:val="5B9BD5" w:themeColor="accent1"/>
      <w:spacing w:val="5"/>
    </w:rPr>
  </w:style>
  <w:style w:type="character" w:styleId="BookTitle">
    <w:name w:val="Book Title"/>
    <w:basedOn w:val="DefaultParagraphFont"/>
    <w:uiPriority w:val="33"/>
    <w:qFormat/>
    <w:rsid w:val="00D919F3"/>
    <w:rPr>
      <w:rFonts w:ascii="DIN OT Medium" w:hAnsi="DIN OT Medium"/>
      <w:b w:val="0"/>
      <w:bCs w:val="0"/>
      <w:i/>
      <w:iCs/>
      <w:spacing w:val="5"/>
    </w:rPr>
  </w:style>
  <w:style w:type="paragraph" w:styleId="ListParagraph">
    <w:name w:val="List Paragraph"/>
    <w:basedOn w:val="Normal"/>
    <w:uiPriority w:val="34"/>
    <w:qFormat/>
    <w:rsid w:val="00D919F3"/>
    <w:pPr>
      <w:ind w:left="720"/>
      <w:contextualSpacing/>
    </w:pPr>
  </w:style>
  <w:style w:type="paragraph" w:styleId="Header">
    <w:name w:val="header"/>
    <w:basedOn w:val="Normal"/>
    <w:link w:val="HeaderChar"/>
    <w:uiPriority w:val="99"/>
    <w:unhideWhenUsed/>
    <w:rsid w:val="00D15787"/>
    <w:pPr>
      <w:tabs>
        <w:tab w:val="clear" w:pos="170"/>
        <w:tab w:val="center" w:pos="4513"/>
        <w:tab w:val="right" w:pos="9026"/>
      </w:tabs>
      <w:spacing w:after="0" w:line="240" w:lineRule="auto"/>
    </w:pPr>
  </w:style>
  <w:style w:type="character" w:styleId="HeaderChar" w:customStyle="1">
    <w:name w:val="Header Char"/>
    <w:basedOn w:val="DefaultParagraphFont"/>
    <w:link w:val="Header"/>
    <w:uiPriority w:val="99"/>
    <w:rsid w:val="00D15787"/>
    <w:rPr>
      <w:rFonts w:ascii="DIN-Regular" w:hAnsi="DIN-Regular" w:cs="TradeGothic-Light"/>
      <w:color w:val="000000"/>
      <w:spacing w:val="-2"/>
    </w:rPr>
  </w:style>
  <w:style w:type="paragraph" w:styleId="Footer">
    <w:name w:val="footer"/>
    <w:basedOn w:val="Normal"/>
    <w:link w:val="FooterChar"/>
    <w:uiPriority w:val="99"/>
    <w:unhideWhenUsed/>
    <w:rsid w:val="00D15787"/>
    <w:pPr>
      <w:tabs>
        <w:tab w:val="clear" w:pos="170"/>
        <w:tab w:val="center" w:pos="4513"/>
        <w:tab w:val="right" w:pos="9026"/>
      </w:tabs>
      <w:spacing w:after="0" w:line="240" w:lineRule="auto"/>
    </w:pPr>
  </w:style>
  <w:style w:type="character" w:styleId="FooterChar" w:customStyle="1">
    <w:name w:val="Footer Char"/>
    <w:basedOn w:val="DefaultParagraphFont"/>
    <w:link w:val="Footer"/>
    <w:uiPriority w:val="99"/>
    <w:rsid w:val="00D15787"/>
    <w:rPr>
      <w:rFonts w:ascii="DIN-Regular" w:hAnsi="DIN-Regular" w:cs="TradeGothic-Light"/>
      <w:color w:val="000000"/>
      <w:spacing w:val="-2"/>
    </w:rPr>
  </w:style>
  <w:style w:type="paragraph" w:styleId="NormalWeb">
    <w:name w:val="Normal (Web)"/>
    <w:basedOn w:val="Normal"/>
    <w:uiPriority w:val="99"/>
    <w:semiHidden/>
    <w:unhideWhenUsed/>
    <w:rsid w:val="00C62766"/>
    <w:pPr>
      <w:widowControl/>
      <w:tabs>
        <w:tab w:val="clear" w:pos="170"/>
      </w:tabs>
      <w:suppressAutoHyphens w:val="0"/>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pacing w:val="0"/>
      <w:sz w:val="24"/>
      <w:lang w:val="en-AU" w:eastAsia="en-AU"/>
    </w:rPr>
  </w:style>
  <w:style w:type="paragraph" w:styleId="FootnoteText">
    <w:name w:val="footnote text"/>
    <w:basedOn w:val="Normal"/>
    <w:link w:val="FootnoteTextChar"/>
    <w:uiPriority w:val="99"/>
    <w:semiHidden/>
    <w:unhideWhenUsed/>
    <w:rsid w:val="00C62766"/>
    <w:pPr>
      <w:widowControl/>
      <w:tabs>
        <w:tab w:val="clear" w:pos="170"/>
      </w:tabs>
      <w:suppressAutoHyphens w:val="0"/>
      <w:autoSpaceDE/>
      <w:autoSpaceDN/>
      <w:adjustRightInd/>
      <w:spacing w:after="0" w:line="240" w:lineRule="auto"/>
      <w:textAlignment w:val="auto"/>
    </w:pPr>
    <w:rPr>
      <w:rFonts w:asciiTheme="minorHAnsi" w:hAnsiTheme="minorHAnsi" w:cstheme="minorBidi"/>
      <w:color w:val="auto"/>
      <w:spacing w:val="0"/>
      <w:sz w:val="20"/>
      <w:szCs w:val="20"/>
      <w:lang w:val="en-AU"/>
    </w:rPr>
  </w:style>
  <w:style w:type="character" w:styleId="FootnoteTextChar" w:customStyle="1">
    <w:name w:val="Footnote Text Char"/>
    <w:basedOn w:val="DefaultParagraphFont"/>
    <w:link w:val="FootnoteText"/>
    <w:uiPriority w:val="99"/>
    <w:semiHidden/>
    <w:rsid w:val="00C62766"/>
    <w:rPr>
      <w:sz w:val="20"/>
      <w:szCs w:val="20"/>
      <w:lang w:val="en-AU"/>
    </w:rPr>
  </w:style>
  <w:style w:type="character" w:styleId="FootnoteReference">
    <w:name w:val="footnote reference"/>
    <w:basedOn w:val="DefaultParagraphFont"/>
    <w:uiPriority w:val="99"/>
    <w:semiHidden/>
    <w:unhideWhenUsed/>
    <w:rsid w:val="00C62766"/>
    <w:rPr>
      <w:vertAlign w:val="superscript"/>
    </w:rPr>
  </w:style>
  <w:style w:type="character" w:styleId="Hyperlink">
    <w:name w:val="Hyperlink"/>
    <w:basedOn w:val="DefaultParagraphFont"/>
    <w:uiPriority w:val="99"/>
    <w:unhideWhenUsed/>
    <w:rsid w:val="00C62766"/>
    <w:rPr>
      <w:color w:val="0000FF"/>
      <w:u w:val="single"/>
    </w:rPr>
  </w:style>
  <w:style w:type="character" w:styleId="CommentReference">
    <w:name w:val="annotation reference"/>
    <w:basedOn w:val="DefaultParagraphFont"/>
    <w:uiPriority w:val="99"/>
    <w:semiHidden/>
    <w:unhideWhenUsed/>
    <w:rsid w:val="00785329"/>
    <w:rPr>
      <w:sz w:val="16"/>
      <w:szCs w:val="16"/>
    </w:rPr>
  </w:style>
  <w:style w:type="paragraph" w:styleId="CommentText">
    <w:name w:val="annotation text"/>
    <w:basedOn w:val="Normal"/>
    <w:link w:val="CommentTextChar"/>
    <w:uiPriority w:val="99"/>
    <w:unhideWhenUsed/>
    <w:rsid w:val="00785329"/>
    <w:pPr>
      <w:spacing w:line="240" w:lineRule="auto"/>
    </w:pPr>
    <w:rPr>
      <w:sz w:val="20"/>
      <w:szCs w:val="20"/>
    </w:rPr>
  </w:style>
  <w:style w:type="character" w:styleId="CommentTextChar" w:customStyle="1">
    <w:name w:val="Comment Text Char"/>
    <w:basedOn w:val="DefaultParagraphFont"/>
    <w:link w:val="CommentText"/>
    <w:uiPriority w:val="99"/>
    <w:rsid w:val="00785329"/>
    <w:rPr>
      <w:rFonts w:ascii="D-DIN" w:hAnsi="D-DIN" w:cs="TradeGothic-Light"/>
      <w:color w:val="000000"/>
      <w:spacing w:val="-2"/>
      <w:sz w:val="20"/>
      <w:szCs w:val="20"/>
    </w:rPr>
  </w:style>
  <w:style w:type="paragraph" w:styleId="CommentSubject">
    <w:name w:val="annotation subject"/>
    <w:basedOn w:val="CommentText"/>
    <w:next w:val="CommentText"/>
    <w:link w:val="CommentSubjectChar"/>
    <w:uiPriority w:val="99"/>
    <w:semiHidden/>
    <w:unhideWhenUsed/>
    <w:rsid w:val="00785329"/>
    <w:rPr>
      <w:b/>
      <w:bCs/>
    </w:rPr>
  </w:style>
  <w:style w:type="character" w:styleId="CommentSubjectChar" w:customStyle="1">
    <w:name w:val="Comment Subject Char"/>
    <w:basedOn w:val="CommentTextChar"/>
    <w:link w:val="CommentSubject"/>
    <w:uiPriority w:val="99"/>
    <w:semiHidden/>
    <w:rsid w:val="00785329"/>
    <w:rPr>
      <w:rFonts w:ascii="D-DIN" w:hAnsi="D-DIN" w:cs="TradeGothic-Light"/>
      <w:b/>
      <w:bCs/>
      <w:color w:val="000000"/>
      <w:spacing w:val="-2"/>
      <w:sz w:val="20"/>
      <w:szCs w:val="20"/>
    </w:rPr>
  </w:style>
  <w:style w:type="paragraph" w:styleId="Revision">
    <w:name w:val="Revision"/>
    <w:hidden/>
    <w:uiPriority w:val="99"/>
    <w:semiHidden/>
    <w:rsid w:val="00D34879"/>
    <w:rPr>
      <w:rFonts w:ascii="D-DIN" w:hAnsi="D-DIN" w:cs="TradeGothic-Light"/>
      <w:color w:val="000000"/>
      <w:spacing w:val="-2"/>
      <w:sz w:val="22"/>
    </w:rPr>
  </w:style>
  <w:style w:type="character" w:styleId="Mention">
    <w:name w:val="Mention"/>
    <w:basedOn w:val="DefaultParagraphFont"/>
    <w:uiPriority w:val="99"/>
    <w:unhideWhenUsed/>
    <w:rsid w:val="00E91E20"/>
    <w:rPr>
      <w:color w:val="2B579A"/>
      <w:shd w:val="clear" w:color="auto" w:fill="E6E6E6"/>
    </w:rPr>
  </w:style>
  <w:style w:type="table" w:styleId="TableGrid">
    <w:name w:val="Table Grid"/>
    <w:basedOn w:val="TableNormal"/>
    <w:uiPriority w:val="39"/>
    <w:rsid w:val="007F65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rsid w:val="00CE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sabel@advocacyforinclusion.or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raig@advocacyforinclusion.org" TargetMode="External" Id="rId14" /><Relationship Type="http://schemas.openxmlformats.org/officeDocument/2006/relationships/glossaryDocument" Target="glossary/document.xml" Id="Re2e2147f77cf414f" /></Relationships>
</file>

<file path=word/_rels/footnotes.xml.rels><?xml version="1.0" encoding="UTF-8" standalone="yes"?>
<Relationships xmlns="http://schemas.openxmlformats.org/package/2006/relationships"><Relationship Id="rId3" Type="http://schemas.openxmlformats.org/officeDocument/2006/relationships/hyperlink" Target="https://www.actcoss.org.au/publications/election-platform/disability" TargetMode="External"/><Relationship Id="rId2" Type="http://schemas.openxmlformats.org/officeDocument/2006/relationships/hyperlink" Target="https://pwd.org.au/submission-on-restrictive-practices-authorisation-in-nsw/" TargetMode="External"/><Relationship Id="rId1" Type="http://schemas.openxmlformats.org/officeDocument/2006/relationships/hyperlink" Target="https://dpoa.org.au/factsheet-forced-treatment/" TargetMode="External"/><Relationship Id="rId5" Type="http://schemas.openxmlformats.org/officeDocument/2006/relationships/hyperlink" Target="https://caring.childstory.nsw.gov.au/everyday-caring/positive-behaviour/chapters/restricted-and-prohibited-practices" TargetMode="External"/><Relationship Id="rId4" Type="http://schemas.openxmlformats.org/officeDocument/2006/relationships/hyperlink" Target="https://imaginemore.org.au/gatekeeping-restrictive-pra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obelMoss\OneDrive%20-%20Advocacy%20for%20Inclusion\Group\Systemic%20Advocacy\Current%20Projects\Senior%20Practitioner%20Act\Defining%20Prohibited%20Practices_DRAFTV3.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45fb43-5464-42d2-be69-8c17d96943a8}"/>
      </w:docPartPr>
      <w:docPartBody>
        <w:p w14:paraId="50C8A9D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Sharon Kensell</DisplayName>
        <AccountId>12</AccountId>
        <AccountType/>
      </UserInfo>
      <UserInfo>
        <DisplayName>Rose Terrey</DisplayName>
        <AccountId>122</AccountId>
        <AccountType/>
      </UserInfo>
      <UserInfo>
        <DisplayName>Nicolas Lawler</DisplayName>
        <AccountId>51</AccountId>
        <AccountType/>
      </UserInfo>
      <UserInfo>
        <DisplayName>Isabel Moss</DisplayName>
        <AccountId>101</AccountId>
        <AccountType/>
      </UserInfo>
      <UserInfo>
        <DisplayName>Carla Millner</DisplayName>
        <AccountId>15</AccountId>
        <AccountType/>
      </UserInfo>
      <UserInfo>
        <DisplayName>Craig Wallace</DisplayName>
        <AccountId>143</AccountId>
        <AccountType/>
      </UserInfo>
    </SharedWithUsers>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6804-70BE-42F8-9481-0C18C316050E}">
  <ds:schemaRefs>
    <ds:schemaRef ds:uri="http://schemas.openxmlformats.org/officeDocument/2006/bibliography"/>
  </ds:schemaRefs>
</ds:datastoreItem>
</file>

<file path=customXml/itemProps2.xml><?xml version="1.0" encoding="utf-8"?>
<ds:datastoreItem xmlns:ds="http://schemas.openxmlformats.org/officeDocument/2006/customXml" ds:itemID="{97878E5F-46BB-4B68-8F4F-1B3B76A7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77B93-80A3-482D-B047-A493BCA6F81B}">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4.xml><?xml version="1.0" encoding="utf-8"?>
<ds:datastoreItem xmlns:ds="http://schemas.openxmlformats.org/officeDocument/2006/customXml" ds:itemID="{943C44DB-3FDF-4B15-81C5-EA3822BF46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Defining%20Prohibited%20Practices_DRAFTV3.dotx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 Moss</dc:creator>
  <keywords/>
  <dc:description/>
  <lastModifiedBy>Carla Millner</lastModifiedBy>
  <revision>301</revision>
  <lastPrinted>2023-02-24T02:03:00.0000000Z</lastPrinted>
  <dcterms:created xsi:type="dcterms:W3CDTF">2023-02-23T01:15:00.0000000Z</dcterms:created>
  <dcterms:modified xsi:type="dcterms:W3CDTF">2023-02-24T02:23:45.9273001Z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-633846592</vt:i4>
  </property>
  <property fmtid="{D5CDD505-2E9C-101B-9397-08002B2CF9AE}" pid="3" name="ContentTypeId">
    <vt:lpwstr>0x0101001B790164420FE54C9F81E813F02AEC85</vt:lpwstr>
  </property>
  <property fmtid="{D5CDD505-2E9C-101B-9397-08002B2CF9AE}" pid="4" name="Order">
    <vt:r8>41400</vt:r8>
  </property>
  <property fmtid="{D5CDD505-2E9C-101B-9397-08002B2CF9AE}" pid="5" name="MediaServiceImageTags">
    <vt:lpwstr/>
  </property>
</Properties>
</file>