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04A6" w14:textId="5895BB78" w:rsidR="00EA4B8C" w:rsidRDefault="00EA4B8C" w:rsidP="00EA4B8C">
      <w:pPr>
        <w:pStyle w:val="Header"/>
      </w:pPr>
    </w:p>
    <w:p w14:paraId="0CE44ACB" w14:textId="1F53E508" w:rsidR="008622D1" w:rsidRDefault="008622D1"/>
    <w:p w14:paraId="708626AA" w14:textId="658641E4" w:rsidR="00EA4B8C" w:rsidRDefault="00EA4B8C"/>
    <w:p w14:paraId="6A9AA4A9" w14:textId="49ABE99F" w:rsidR="00EA4B8C" w:rsidRDefault="00EA4B8C"/>
    <w:p w14:paraId="632E46C3" w14:textId="015D840E" w:rsidR="00EA4B8C" w:rsidRDefault="00EA4B8C"/>
    <w:p w14:paraId="7B9FBF0F" w14:textId="3A71A893" w:rsidR="00EA4B8C" w:rsidRDefault="00EA4B8C"/>
    <w:p w14:paraId="0D483857" w14:textId="77777777" w:rsidR="00A00785" w:rsidRDefault="00A00785" w:rsidP="00EA4B8C">
      <w:pPr>
        <w:spacing w:after="0" w:line="240" w:lineRule="auto"/>
        <w:rPr>
          <w:rFonts w:ascii="Arial" w:eastAsia="Arial" w:hAnsi="Arial" w:cs="Arial"/>
          <w:sz w:val="24"/>
        </w:rPr>
      </w:pPr>
    </w:p>
    <w:p w14:paraId="4530E671" w14:textId="102F9A89" w:rsidR="00EA4B8C" w:rsidRPr="00AB4DC9" w:rsidRDefault="00EA4B8C" w:rsidP="00EA4B8C">
      <w:pPr>
        <w:spacing w:after="0" w:line="240" w:lineRule="auto"/>
        <w:rPr>
          <w:rFonts w:ascii="Arial" w:eastAsia="Arial" w:hAnsi="Arial" w:cs="Arial"/>
          <w:sz w:val="24"/>
        </w:rPr>
      </w:pPr>
      <w:r w:rsidRPr="00AB4DC9">
        <w:rPr>
          <w:rFonts w:ascii="Arial" w:eastAsia="Arial" w:hAnsi="Arial" w:cs="Arial"/>
          <w:sz w:val="24"/>
        </w:rPr>
        <w:t>The Committee Secretariat</w:t>
      </w:r>
    </w:p>
    <w:p w14:paraId="0005540C" w14:textId="4AF2A28F" w:rsidR="00EA4B8C" w:rsidRPr="00AB4DC9" w:rsidRDefault="00EA4B8C" w:rsidP="00EA4B8C">
      <w:pPr>
        <w:spacing w:after="0" w:line="240" w:lineRule="auto"/>
        <w:rPr>
          <w:rFonts w:ascii="Arial" w:eastAsia="Arial" w:hAnsi="Arial" w:cs="Arial"/>
          <w:sz w:val="24"/>
        </w:rPr>
      </w:pPr>
      <w:r w:rsidRPr="00AB4DC9">
        <w:rPr>
          <w:rFonts w:ascii="Arial" w:eastAsia="Arial" w:hAnsi="Arial" w:cs="Arial"/>
          <w:sz w:val="24"/>
        </w:rPr>
        <w:t>Inquiry into the extent and nature of poverty in Australia</w:t>
      </w:r>
    </w:p>
    <w:p w14:paraId="6775FF6A" w14:textId="2246E97E" w:rsidR="00EA4B8C" w:rsidRPr="00AB4DC9" w:rsidRDefault="00EA4B8C" w:rsidP="00EA4B8C">
      <w:pPr>
        <w:spacing w:after="0" w:line="240" w:lineRule="auto"/>
        <w:rPr>
          <w:rFonts w:ascii="Arial" w:eastAsia="Arial" w:hAnsi="Arial" w:cs="Arial"/>
          <w:sz w:val="24"/>
        </w:rPr>
      </w:pPr>
      <w:r w:rsidRPr="00AB4DC9">
        <w:rPr>
          <w:rFonts w:ascii="Arial" w:eastAsia="Arial" w:hAnsi="Arial" w:cs="Arial"/>
          <w:sz w:val="24"/>
        </w:rPr>
        <w:t>The Senate Community Affairs References Committee</w:t>
      </w:r>
    </w:p>
    <w:p w14:paraId="34D4620C" w14:textId="77777777" w:rsidR="00EA4B8C" w:rsidRPr="00AB4DC9" w:rsidRDefault="00EA4B8C" w:rsidP="00EA4B8C">
      <w:pPr>
        <w:spacing w:after="0" w:line="240" w:lineRule="auto"/>
        <w:rPr>
          <w:rFonts w:ascii="Arial" w:eastAsia="Arial" w:hAnsi="Arial" w:cs="Arial"/>
          <w:sz w:val="24"/>
        </w:rPr>
      </w:pPr>
    </w:p>
    <w:p w14:paraId="52C23436" w14:textId="45F32BBE" w:rsidR="00EA4B8C" w:rsidRPr="00AB4DC9" w:rsidRDefault="00EA4B8C" w:rsidP="00EA4B8C">
      <w:pPr>
        <w:spacing w:after="0" w:line="240" w:lineRule="auto"/>
        <w:rPr>
          <w:lang w:val="sv-SE"/>
        </w:rPr>
      </w:pPr>
      <w:r w:rsidRPr="00AB4DC9">
        <w:rPr>
          <w:rFonts w:ascii="Arial" w:eastAsia="Arial" w:hAnsi="Arial" w:cs="Arial"/>
          <w:sz w:val="24"/>
          <w:lang w:val="sv-SE"/>
        </w:rPr>
        <w:t xml:space="preserve">Via email – </w:t>
      </w:r>
      <w:hyperlink r:id="rId10" w:history="1">
        <w:r w:rsidRPr="00AB4DC9">
          <w:rPr>
            <w:rStyle w:val="Hyperlink"/>
            <w:rFonts w:ascii="Arial" w:eastAsia="Arial" w:hAnsi="Arial" w:cs="Arial"/>
            <w:sz w:val="24"/>
            <w:lang w:val="sv-SE"/>
          </w:rPr>
          <w:t>community.affairs.sen@aph.gov.au</w:t>
        </w:r>
      </w:hyperlink>
      <w:r w:rsidRPr="00AB4DC9">
        <w:rPr>
          <w:rFonts w:ascii="Arial" w:eastAsia="Arial" w:hAnsi="Arial" w:cs="Arial"/>
          <w:sz w:val="24"/>
          <w:lang w:val="sv-SE"/>
        </w:rPr>
        <w:t xml:space="preserve"> </w:t>
      </w:r>
    </w:p>
    <w:p w14:paraId="7F59CAE3" w14:textId="77777777" w:rsidR="00EA4B8C" w:rsidRPr="00AB4DC9" w:rsidRDefault="00EA4B8C" w:rsidP="00EA4B8C">
      <w:pPr>
        <w:rPr>
          <w:lang w:val="sv-SE"/>
        </w:rPr>
      </w:pPr>
    </w:p>
    <w:p w14:paraId="32C96D69" w14:textId="6598E873" w:rsidR="00EA4B8C" w:rsidRPr="00AB4DC9" w:rsidRDefault="00EA4B8C" w:rsidP="00EA4B8C">
      <w:pPr>
        <w:rPr>
          <w:rFonts w:ascii="Arial" w:eastAsia="Arial" w:hAnsi="Arial" w:cs="Arial"/>
          <w:sz w:val="24"/>
        </w:rPr>
      </w:pPr>
      <w:r w:rsidRPr="00AB4DC9">
        <w:rPr>
          <w:rFonts w:ascii="Arial" w:eastAsia="Arial" w:hAnsi="Arial" w:cs="Arial"/>
          <w:sz w:val="24"/>
        </w:rPr>
        <w:t>Dear Committee Secretariat,</w:t>
      </w:r>
    </w:p>
    <w:p w14:paraId="7477343A" w14:textId="77777777" w:rsidR="00EA4B8C" w:rsidRPr="00AB4DC9" w:rsidRDefault="00EA4B8C" w:rsidP="00EA4B8C">
      <w:pPr>
        <w:rPr>
          <w:rFonts w:ascii="Arial" w:eastAsia="Arial" w:hAnsi="Arial" w:cs="Arial"/>
          <w:sz w:val="24"/>
        </w:rPr>
      </w:pPr>
    </w:p>
    <w:p w14:paraId="1C1B822B" w14:textId="47486D9C" w:rsidR="00EA4B8C" w:rsidRPr="00AB4DC9" w:rsidRDefault="00EA4B8C" w:rsidP="00EA4B8C">
      <w:pPr>
        <w:spacing w:after="0" w:line="240" w:lineRule="auto"/>
        <w:rPr>
          <w:rFonts w:ascii="Arial" w:eastAsia="Arial" w:hAnsi="Arial" w:cs="Arial"/>
          <w:sz w:val="24"/>
        </w:rPr>
      </w:pPr>
      <w:r w:rsidRPr="00AB4DC9">
        <w:rPr>
          <w:rFonts w:ascii="Arial" w:eastAsia="Arial" w:hAnsi="Arial" w:cs="Arial"/>
          <w:sz w:val="24"/>
        </w:rPr>
        <w:t xml:space="preserve">Thank you for the opportunity to make a submission to the Inquiry into the extent and nature of poverty in Australia. This is a timely and critical inquiry. This submission addresses – to varying extents – Terms of Reference a, b, c, d, and e, with a specific focus on the complex relationship between disability, income </w:t>
      </w:r>
      <w:r w:rsidR="003C25E8">
        <w:rPr>
          <w:rFonts w:ascii="Arial" w:eastAsia="Arial" w:hAnsi="Arial" w:cs="Arial"/>
          <w:sz w:val="24"/>
        </w:rPr>
        <w:t xml:space="preserve">support </w:t>
      </w:r>
      <w:r w:rsidRPr="00AB4DC9">
        <w:rPr>
          <w:rFonts w:ascii="Arial" w:eastAsia="Arial" w:hAnsi="Arial" w:cs="Arial"/>
          <w:sz w:val="24"/>
        </w:rPr>
        <w:t>and housing insecurity, a</w:t>
      </w:r>
      <w:r w:rsidR="003C25E8">
        <w:rPr>
          <w:rFonts w:ascii="Arial" w:eastAsia="Arial" w:hAnsi="Arial" w:cs="Arial"/>
          <w:sz w:val="24"/>
        </w:rPr>
        <w:t>s well as</w:t>
      </w:r>
      <w:r w:rsidRPr="00AB4DC9">
        <w:rPr>
          <w:rFonts w:ascii="Arial" w:eastAsia="Arial" w:hAnsi="Arial" w:cs="Arial"/>
          <w:sz w:val="24"/>
        </w:rPr>
        <w:t xml:space="preserve"> the persistent nature of poverty. </w:t>
      </w:r>
    </w:p>
    <w:p w14:paraId="665D7114" w14:textId="77777777" w:rsidR="00EA4B8C" w:rsidRPr="00AB4DC9" w:rsidRDefault="00EA4B8C" w:rsidP="00EA4B8C">
      <w:pPr>
        <w:spacing w:after="0" w:line="240" w:lineRule="auto"/>
        <w:rPr>
          <w:rFonts w:ascii="Arial" w:eastAsia="Arial" w:hAnsi="Arial" w:cs="Arial"/>
          <w:sz w:val="24"/>
        </w:rPr>
      </w:pPr>
      <w:r w:rsidRPr="00AB4DC9">
        <w:rPr>
          <w:rFonts w:ascii="Arial" w:eastAsia="Arial" w:hAnsi="Arial" w:cs="Arial"/>
          <w:sz w:val="24"/>
        </w:rPr>
        <w:t xml:space="preserve"> </w:t>
      </w:r>
    </w:p>
    <w:p w14:paraId="58213337" w14:textId="77777777" w:rsidR="00AE4A67" w:rsidRDefault="00AE4A67" w:rsidP="00EA4B8C">
      <w:pPr>
        <w:rPr>
          <w:rFonts w:ascii="Arial" w:eastAsia="Arial" w:hAnsi="Arial" w:cs="Arial"/>
          <w:sz w:val="24"/>
          <w:u w:val="single"/>
        </w:rPr>
      </w:pPr>
    </w:p>
    <w:p w14:paraId="29C7F4B8" w14:textId="468785B4" w:rsidR="00EA4B8C" w:rsidRPr="00AB4DC9" w:rsidRDefault="00EA4B8C" w:rsidP="00EA4B8C">
      <w:pPr>
        <w:rPr>
          <w:rFonts w:ascii="Arial" w:eastAsia="Arial" w:hAnsi="Arial" w:cs="Arial"/>
          <w:sz w:val="24"/>
          <w:u w:val="single"/>
        </w:rPr>
      </w:pPr>
      <w:r w:rsidRPr="00AB4DC9">
        <w:rPr>
          <w:rFonts w:ascii="Arial" w:eastAsia="Arial" w:hAnsi="Arial" w:cs="Arial"/>
          <w:sz w:val="24"/>
          <w:u w:val="single"/>
        </w:rPr>
        <w:t xml:space="preserve">About us: </w:t>
      </w:r>
    </w:p>
    <w:p w14:paraId="59C700CF" w14:textId="136E4C91" w:rsidR="008E0517" w:rsidRPr="00AE4A67" w:rsidRDefault="008E0517" w:rsidP="00AE4A67">
      <w:pPr>
        <w:pStyle w:val="NoSpacing"/>
        <w:rPr>
          <w:rFonts w:ascii="Arial" w:hAnsi="Arial" w:cs="Arial"/>
          <w:sz w:val="24"/>
        </w:rPr>
      </w:pPr>
      <w:r w:rsidRPr="00AE4A67">
        <w:rPr>
          <w:rFonts w:ascii="Arial" w:hAnsi="Arial" w:cs="Arial"/>
          <w:sz w:val="24"/>
        </w:rPr>
        <w:t>Advocacy for Inclusion incorporating People with Disabilities ACT</w:t>
      </w:r>
      <w:r w:rsidRPr="00AE4A67">
        <w:rPr>
          <w:rStyle w:val="FootnoteReference"/>
          <w:rFonts w:ascii="Arial" w:hAnsi="Arial" w:cs="Arial"/>
          <w:color w:val="4472C4" w:themeColor="accent1"/>
          <w:sz w:val="24"/>
        </w:rPr>
        <w:footnoteReference w:id="2"/>
      </w:r>
      <w:r w:rsidRPr="00AE4A67">
        <w:rPr>
          <w:rFonts w:ascii="Arial" w:hAnsi="Arial" w:cs="Arial"/>
          <w:sz w:val="24"/>
        </w:rPr>
        <w:t xml:space="preserve"> is </w:t>
      </w:r>
      <w:r w:rsidR="00836D43">
        <w:rPr>
          <w:rFonts w:ascii="Arial" w:hAnsi="Arial" w:cs="Arial"/>
          <w:sz w:val="24"/>
        </w:rPr>
        <w:t>an</w:t>
      </w:r>
      <w:r w:rsidRPr="00AE4A67">
        <w:rPr>
          <w:rFonts w:ascii="Arial" w:hAnsi="Arial" w:cs="Arial"/>
          <w:sz w:val="24"/>
        </w:rPr>
        <w:t xml:space="preserve"> independent organisation delivering reputable national systemic advocacy informed by our experience in individual advocacy and community and government consultation.  We provide dedicated individual and self-advocacy services, training, information and resources in the ACT.  </w:t>
      </w:r>
    </w:p>
    <w:p w14:paraId="4276D9DE" w14:textId="77777777" w:rsidR="008E0517" w:rsidRPr="00AE4A67" w:rsidRDefault="008E0517" w:rsidP="00AE4A67">
      <w:pPr>
        <w:pStyle w:val="NoSpacing"/>
        <w:rPr>
          <w:rFonts w:ascii="Arial" w:hAnsi="Arial" w:cs="Arial"/>
          <w:sz w:val="24"/>
        </w:rPr>
      </w:pPr>
    </w:p>
    <w:p w14:paraId="6490FD3A" w14:textId="77777777" w:rsidR="008E0517" w:rsidRPr="00AE4A67" w:rsidRDefault="008E0517" w:rsidP="00AE4A67">
      <w:pPr>
        <w:pStyle w:val="NoSpacing"/>
        <w:rPr>
          <w:rFonts w:ascii="Arial" w:hAnsi="Arial" w:cs="Arial"/>
          <w:sz w:val="24"/>
        </w:rPr>
      </w:pPr>
      <w:r w:rsidRPr="00AE4A67">
        <w:rPr>
          <w:rFonts w:ascii="Arial" w:hAnsi="Arial" w:cs="Arial"/>
          <w:sz w:val="24"/>
        </w:rPr>
        <w:t>As a Disabled People’s Organisation, the majority of our organisation, including our Board of Management, staff and members, are people with disabilities.  Advocacy for Inclusion speaks with the authority of lived experience. It is strongly committed to advancing opportunities for the insights, experiences and opinions of people with disabilities to be heard and acknowledged.</w:t>
      </w:r>
    </w:p>
    <w:p w14:paraId="294F8345" w14:textId="77777777" w:rsidR="008E0517" w:rsidRPr="00AE4A67" w:rsidRDefault="008E0517" w:rsidP="00AE4A67">
      <w:pPr>
        <w:pStyle w:val="NormalWeb"/>
        <w:shd w:val="clear" w:color="auto" w:fill="FFFFFF"/>
        <w:spacing w:line="240" w:lineRule="auto"/>
        <w:rPr>
          <w:rFonts w:ascii="Arial" w:hAnsi="Arial" w:cs="Arial"/>
        </w:rPr>
      </w:pPr>
    </w:p>
    <w:p w14:paraId="6A6BC8CD" w14:textId="77777777" w:rsidR="008E0517" w:rsidRPr="00AE4A67" w:rsidRDefault="008E0517" w:rsidP="00AE4A67">
      <w:pPr>
        <w:pStyle w:val="NormalWeb"/>
        <w:shd w:val="clear" w:color="auto" w:fill="FFFFFF"/>
        <w:spacing w:line="240" w:lineRule="auto"/>
        <w:rPr>
          <w:rFonts w:ascii="Arial" w:hAnsi="Arial" w:cs="Arial"/>
        </w:rPr>
      </w:pPr>
      <w:r w:rsidRPr="00AE4A67">
        <w:rPr>
          <w:rFonts w:ascii="Arial" w:hAnsi="Arial" w:cs="Arial"/>
        </w:rPr>
        <w:t>Advocacy for Inclusion operates under a human rights framework.  We uphold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w:t>
      </w:r>
    </w:p>
    <w:p w14:paraId="0F8014C6" w14:textId="77777777" w:rsidR="00EA4B8C" w:rsidRPr="00AB4DC9" w:rsidRDefault="00EA4B8C" w:rsidP="00EA4B8C">
      <w:pPr>
        <w:rPr>
          <w:rFonts w:ascii="Arial" w:eastAsia="Arial" w:hAnsi="Arial" w:cs="Arial"/>
          <w:sz w:val="24"/>
          <w:u w:val="single"/>
        </w:rPr>
      </w:pPr>
    </w:p>
    <w:p w14:paraId="55A14854" w14:textId="77777777" w:rsidR="00AE4A67" w:rsidRDefault="00AE4A67">
      <w:pPr>
        <w:rPr>
          <w:rFonts w:ascii="Arial" w:eastAsia="Arial" w:hAnsi="Arial" w:cs="Arial"/>
          <w:sz w:val="24"/>
          <w:u w:val="single"/>
        </w:rPr>
      </w:pPr>
    </w:p>
    <w:p w14:paraId="437EE1AA" w14:textId="77777777" w:rsidR="00AE4A67" w:rsidRDefault="00AE4A67">
      <w:pPr>
        <w:rPr>
          <w:rFonts w:ascii="Arial" w:eastAsia="Arial" w:hAnsi="Arial" w:cs="Arial"/>
          <w:sz w:val="24"/>
          <w:u w:val="single"/>
        </w:rPr>
      </w:pPr>
    </w:p>
    <w:p w14:paraId="335CA0E6" w14:textId="77777777" w:rsidR="00AE4A67" w:rsidRDefault="00AE4A67">
      <w:pPr>
        <w:rPr>
          <w:rFonts w:ascii="Arial" w:eastAsia="Arial" w:hAnsi="Arial" w:cs="Arial"/>
          <w:sz w:val="24"/>
          <w:u w:val="single"/>
        </w:rPr>
      </w:pPr>
    </w:p>
    <w:p w14:paraId="178DBCF8" w14:textId="77777777" w:rsidR="00AE4A67" w:rsidRDefault="00AE4A67">
      <w:pPr>
        <w:rPr>
          <w:rFonts w:ascii="Arial" w:eastAsia="Arial" w:hAnsi="Arial" w:cs="Arial"/>
          <w:sz w:val="24"/>
          <w:u w:val="single"/>
        </w:rPr>
      </w:pPr>
    </w:p>
    <w:p w14:paraId="4336FE54" w14:textId="77777777" w:rsidR="00AE4A67" w:rsidRDefault="00AE4A67">
      <w:pPr>
        <w:rPr>
          <w:rFonts w:ascii="Arial" w:eastAsia="Arial" w:hAnsi="Arial" w:cs="Arial"/>
          <w:sz w:val="24"/>
          <w:u w:val="single"/>
        </w:rPr>
      </w:pPr>
    </w:p>
    <w:p w14:paraId="355CD3AA" w14:textId="66721FB3" w:rsidR="00EA4B8C" w:rsidRPr="00AB4DC9" w:rsidRDefault="00EA4B8C">
      <w:pPr>
        <w:rPr>
          <w:rFonts w:ascii="Arial" w:eastAsia="Arial" w:hAnsi="Arial" w:cs="Arial"/>
          <w:sz w:val="24"/>
          <w:u w:val="single"/>
        </w:rPr>
      </w:pPr>
      <w:r w:rsidRPr="00AB4DC9">
        <w:rPr>
          <w:rFonts w:ascii="Arial" w:eastAsia="Arial" w:hAnsi="Arial" w:cs="Arial"/>
          <w:sz w:val="24"/>
          <w:u w:val="single"/>
        </w:rPr>
        <w:t xml:space="preserve">Background: </w:t>
      </w:r>
    </w:p>
    <w:p w14:paraId="7C9F2589" w14:textId="4BD774C9" w:rsidR="00D747FB" w:rsidRPr="00D747FB" w:rsidRDefault="00D747FB" w:rsidP="00D747FB">
      <w:pPr>
        <w:rPr>
          <w:rFonts w:ascii="Arial" w:hAnsi="Arial" w:cs="Arial"/>
          <w:sz w:val="24"/>
          <w:szCs w:val="24"/>
        </w:rPr>
      </w:pPr>
      <w:r w:rsidRPr="00D747FB">
        <w:rPr>
          <w:rFonts w:ascii="Arial" w:hAnsi="Arial" w:cs="Arial"/>
          <w:sz w:val="24"/>
          <w:szCs w:val="24"/>
        </w:rPr>
        <w:t xml:space="preserve">Poverty is a driver of abuse, neglect and violence against people with disabilities. It places people in situations of harm, reduces their capacity to remove themselves from these situations and leaves them open to exploitation. Food insecurity, housing stress, transport disadvantage and pressures from utilities and other bills combined with additional costs that come with having a disability represent a form of systemic abuse and neglect in a country that can afford to do better.  </w:t>
      </w:r>
    </w:p>
    <w:p w14:paraId="3251F2A1" w14:textId="127E2D7B" w:rsidR="00B17F92" w:rsidRDefault="00B17F92" w:rsidP="00B17F92">
      <w:pPr>
        <w:rPr>
          <w:rFonts w:ascii="Arial" w:eastAsia="Arial" w:hAnsi="Arial" w:cs="Arial"/>
          <w:sz w:val="24"/>
        </w:rPr>
      </w:pPr>
      <w:r w:rsidRPr="00AB4DC9">
        <w:rPr>
          <w:rFonts w:ascii="Arial" w:eastAsia="Arial" w:hAnsi="Arial" w:cs="Arial"/>
          <w:sz w:val="24"/>
        </w:rPr>
        <w:t xml:space="preserve">Many people with disability experience poor economic outcomes, financial hardship, un(der)employment, housing insecurity, and poverty. Recent research also finds that </w:t>
      </w:r>
      <w:r>
        <w:rPr>
          <w:rFonts w:ascii="Arial" w:eastAsia="Arial" w:hAnsi="Arial" w:cs="Arial"/>
          <w:sz w:val="24"/>
        </w:rPr>
        <w:t xml:space="preserve">for people with disability, </w:t>
      </w:r>
      <w:r w:rsidRPr="00AB4DC9">
        <w:rPr>
          <w:rFonts w:ascii="Arial" w:eastAsia="Arial" w:hAnsi="Arial" w:cs="Arial"/>
          <w:sz w:val="24"/>
        </w:rPr>
        <w:t xml:space="preserve">poverty is more likely to be a </w:t>
      </w:r>
      <w:r w:rsidRPr="00AB4DC9">
        <w:rPr>
          <w:rFonts w:ascii="Arial" w:eastAsia="Arial" w:hAnsi="Arial" w:cs="Arial"/>
          <w:i/>
          <w:iCs/>
          <w:sz w:val="24"/>
        </w:rPr>
        <w:t xml:space="preserve">persistent </w:t>
      </w:r>
      <w:r w:rsidRPr="00AB4DC9">
        <w:rPr>
          <w:rFonts w:ascii="Arial" w:eastAsia="Arial" w:hAnsi="Arial" w:cs="Arial"/>
          <w:sz w:val="24"/>
        </w:rPr>
        <w:t>rather than temporary</w:t>
      </w:r>
      <w:r>
        <w:rPr>
          <w:rFonts w:ascii="Arial" w:eastAsia="Arial" w:hAnsi="Arial" w:cs="Arial"/>
          <w:sz w:val="24"/>
        </w:rPr>
        <w:t xml:space="preserve">. The nature and extent of poverty represents a systemic challenge, the drivers of which are </w:t>
      </w:r>
      <w:r w:rsidRPr="00AB4DC9">
        <w:rPr>
          <w:rFonts w:ascii="Arial" w:eastAsia="Arial" w:hAnsi="Arial" w:cs="Arial"/>
          <w:sz w:val="24"/>
        </w:rPr>
        <w:t xml:space="preserve">complex, multifaceted, and interconnected. </w:t>
      </w:r>
    </w:p>
    <w:p w14:paraId="78C3DE7D" w14:textId="7C4A027F" w:rsidR="006D2314" w:rsidRDefault="00B17F92" w:rsidP="004C1813">
      <w:pPr>
        <w:rPr>
          <w:rFonts w:ascii="Arial" w:hAnsi="Arial" w:cs="Arial"/>
          <w:sz w:val="24"/>
          <w:szCs w:val="24"/>
        </w:rPr>
      </w:pPr>
      <w:r>
        <w:rPr>
          <w:rFonts w:ascii="Arial" w:eastAsia="Arial" w:hAnsi="Arial" w:cs="Arial"/>
          <w:sz w:val="24"/>
        </w:rPr>
        <w:t>Advocacy for Inclusion has embarked on a series of white papers</w:t>
      </w:r>
      <w:r w:rsidR="00864013">
        <w:rPr>
          <w:rFonts w:ascii="Arial" w:eastAsia="Arial" w:hAnsi="Arial" w:cs="Arial"/>
          <w:sz w:val="24"/>
        </w:rPr>
        <w:t>,</w:t>
      </w:r>
      <w:r>
        <w:rPr>
          <w:rFonts w:ascii="Arial" w:eastAsia="Arial" w:hAnsi="Arial" w:cs="Arial"/>
          <w:sz w:val="24"/>
        </w:rPr>
        <w:t xml:space="preserve"> consolidating</w:t>
      </w:r>
      <w:r w:rsidR="00722F40">
        <w:rPr>
          <w:rFonts w:ascii="Arial" w:eastAsia="Arial" w:hAnsi="Arial" w:cs="Arial"/>
          <w:sz w:val="24"/>
        </w:rPr>
        <w:t>,</w:t>
      </w:r>
      <w:r>
        <w:rPr>
          <w:rFonts w:ascii="Arial" w:eastAsia="Arial" w:hAnsi="Arial" w:cs="Arial"/>
          <w:sz w:val="24"/>
        </w:rPr>
        <w:t xml:space="preserve"> and clarifying important A</w:t>
      </w:r>
      <w:r w:rsidR="00864013">
        <w:rPr>
          <w:rFonts w:ascii="Arial" w:eastAsia="Arial" w:hAnsi="Arial" w:cs="Arial"/>
          <w:sz w:val="24"/>
        </w:rPr>
        <w:t xml:space="preserve">ustralian </w:t>
      </w:r>
      <w:r>
        <w:rPr>
          <w:rFonts w:ascii="Arial" w:eastAsia="Arial" w:hAnsi="Arial" w:cs="Arial"/>
          <w:sz w:val="24"/>
        </w:rPr>
        <w:t>C</w:t>
      </w:r>
      <w:r w:rsidR="00864013">
        <w:rPr>
          <w:rFonts w:ascii="Arial" w:eastAsia="Arial" w:hAnsi="Arial" w:cs="Arial"/>
          <w:sz w:val="24"/>
        </w:rPr>
        <w:t xml:space="preserve">apital </w:t>
      </w:r>
      <w:r>
        <w:rPr>
          <w:rFonts w:ascii="Arial" w:eastAsia="Arial" w:hAnsi="Arial" w:cs="Arial"/>
          <w:sz w:val="24"/>
        </w:rPr>
        <w:t>T</w:t>
      </w:r>
      <w:r w:rsidR="00864013">
        <w:rPr>
          <w:rFonts w:ascii="Arial" w:eastAsia="Arial" w:hAnsi="Arial" w:cs="Arial"/>
          <w:sz w:val="24"/>
        </w:rPr>
        <w:t>erritory (ACT)</w:t>
      </w:r>
      <w:r>
        <w:rPr>
          <w:rFonts w:ascii="Arial" w:eastAsia="Arial" w:hAnsi="Arial" w:cs="Arial"/>
          <w:sz w:val="24"/>
        </w:rPr>
        <w:t xml:space="preserve"> and national priorities for disability rights, access, inclusion priorities and services. </w:t>
      </w:r>
      <w:r w:rsidR="004C1813" w:rsidRPr="004C1813">
        <w:rPr>
          <w:rFonts w:ascii="Arial" w:hAnsi="Arial" w:cs="Arial"/>
          <w:sz w:val="24"/>
          <w:szCs w:val="24"/>
        </w:rPr>
        <w:t xml:space="preserve">In the ACT specifically, a combination of factors further exacerbate the </w:t>
      </w:r>
      <w:r w:rsidR="00DA39D3">
        <w:rPr>
          <w:rFonts w:ascii="Arial" w:hAnsi="Arial" w:cs="Arial"/>
          <w:sz w:val="24"/>
          <w:szCs w:val="24"/>
        </w:rPr>
        <w:t xml:space="preserve">extent and </w:t>
      </w:r>
      <w:r w:rsidR="004C1813" w:rsidRPr="004C1813">
        <w:rPr>
          <w:rFonts w:ascii="Arial" w:hAnsi="Arial" w:cs="Arial"/>
          <w:sz w:val="24"/>
          <w:szCs w:val="24"/>
        </w:rPr>
        <w:t xml:space="preserve">nature of poverty amongst people with disability. </w:t>
      </w:r>
    </w:p>
    <w:p w14:paraId="3E4A1DCC" w14:textId="23178C43" w:rsidR="004C1813" w:rsidRPr="006D2314" w:rsidRDefault="004C1813" w:rsidP="004C1813">
      <w:pPr>
        <w:rPr>
          <w:rFonts w:ascii="Arial" w:eastAsia="Arial" w:hAnsi="Arial" w:cs="Arial"/>
          <w:sz w:val="24"/>
        </w:rPr>
      </w:pPr>
      <w:r w:rsidRPr="004C1813">
        <w:rPr>
          <w:rFonts w:ascii="Arial" w:hAnsi="Arial" w:cs="Arial"/>
          <w:sz w:val="24"/>
          <w:szCs w:val="24"/>
        </w:rPr>
        <w:t>People with disability face high utility costs in the capital region.</w:t>
      </w:r>
      <w:r w:rsidRPr="004C1813">
        <w:rPr>
          <w:rStyle w:val="FootnoteReference"/>
          <w:rFonts w:ascii="Arial" w:hAnsi="Arial" w:cs="Arial"/>
          <w:sz w:val="24"/>
          <w:szCs w:val="24"/>
        </w:rPr>
        <w:footnoteReference w:id="3"/>
      </w:r>
      <w:r w:rsidRPr="004C1813">
        <w:rPr>
          <w:rFonts w:ascii="Arial" w:hAnsi="Arial" w:cs="Arial"/>
          <w:sz w:val="24"/>
          <w:szCs w:val="24"/>
        </w:rPr>
        <w:t xml:space="preserve"> This combined with the temperature control issues in a jurisdiction with extreme weather conditions results in higher energy costs and further cost of living pressures.</w:t>
      </w:r>
      <w:r w:rsidRPr="004C1813">
        <w:rPr>
          <w:rStyle w:val="FootnoteReference"/>
          <w:rFonts w:ascii="Arial" w:hAnsi="Arial" w:cs="Arial"/>
          <w:sz w:val="24"/>
          <w:szCs w:val="24"/>
        </w:rPr>
        <w:footnoteReference w:id="4"/>
      </w:r>
      <w:r w:rsidRPr="004C1813">
        <w:rPr>
          <w:rFonts w:ascii="Arial" w:hAnsi="Arial" w:cs="Arial"/>
          <w:sz w:val="24"/>
          <w:szCs w:val="24"/>
        </w:rPr>
        <w:t xml:space="preserve"> The ACT also features the highest out of pocket health care costs given the low – and decreasing – numbers of bulk billing practices across the region.</w:t>
      </w:r>
      <w:r w:rsidRPr="004C1813">
        <w:rPr>
          <w:rStyle w:val="FootnoteReference"/>
          <w:rFonts w:ascii="Arial" w:hAnsi="Arial" w:cs="Arial"/>
          <w:sz w:val="24"/>
          <w:szCs w:val="24"/>
        </w:rPr>
        <w:footnoteReference w:id="5"/>
      </w:r>
      <w:r w:rsidRPr="004C1813">
        <w:rPr>
          <w:rFonts w:ascii="Arial" w:hAnsi="Arial" w:cs="Arial"/>
          <w:sz w:val="24"/>
          <w:szCs w:val="24"/>
        </w:rPr>
        <w:t xml:space="preserve"> Finally, housing remains the key cost of living issue for people on low incomes in the ACT. The chronic shortage of affordable </w:t>
      </w:r>
      <w:r w:rsidR="007B5962">
        <w:rPr>
          <w:rFonts w:ascii="Arial" w:hAnsi="Arial" w:cs="Arial"/>
          <w:sz w:val="24"/>
          <w:szCs w:val="24"/>
        </w:rPr>
        <w:t>and accessible</w:t>
      </w:r>
      <w:r w:rsidRPr="004C1813">
        <w:rPr>
          <w:rFonts w:ascii="Arial" w:hAnsi="Arial" w:cs="Arial"/>
          <w:sz w:val="24"/>
          <w:szCs w:val="24"/>
        </w:rPr>
        <w:t xml:space="preserve"> private rental properties, combined with increasing housing prices and limited supply of social housing, further complicate the nature and extent of poverty for people with disability.</w:t>
      </w:r>
      <w:r w:rsidRPr="004C1813">
        <w:rPr>
          <w:rStyle w:val="FootnoteReference"/>
          <w:rFonts w:ascii="Arial" w:hAnsi="Arial" w:cs="Arial"/>
          <w:sz w:val="24"/>
          <w:szCs w:val="24"/>
        </w:rPr>
        <w:footnoteReference w:id="6"/>
      </w:r>
      <w:r w:rsidRPr="004C1813">
        <w:rPr>
          <w:rFonts w:ascii="Arial" w:hAnsi="Arial" w:cs="Arial"/>
          <w:sz w:val="24"/>
          <w:szCs w:val="24"/>
        </w:rPr>
        <w:t xml:space="preserve"> </w:t>
      </w:r>
    </w:p>
    <w:p w14:paraId="14EB4F15" w14:textId="77777777" w:rsidR="009D30F7" w:rsidRDefault="009D30F7">
      <w:pPr>
        <w:rPr>
          <w:rFonts w:ascii="Arial" w:eastAsia="Arial" w:hAnsi="Arial" w:cs="Arial"/>
          <w:sz w:val="24"/>
        </w:rPr>
      </w:pPr>
    </w:p>
    <w:p w14:paraId="4F3E6F50" w14:textId="77777777" w:rsidR="004D1813" w:rsidRDefault="004D1813">
      <w:pPr>
        <w:rPr>
          <w:rFonts w:ascii="Arial" w:eastAsia="Arial" w:hAnsi="Arial" w:cs="Arial"/>
          <w:sz w:val="24"/>
        </w:rPr>
      </w:pPr>
    </w:p>
    <w:p w14:paraId="38452AFE" w14:textId="77777777" w:rsidR="006D2314" w:rsidRDefault="006D2314">
      <w:pPr>
        <w:rPr>
          <w:rFonts w:ascii="Arial" w:eastAsia="Arial" w:hAnsi="Arial" w:cs="Arial"/>
          <w:sz w:val="24"/>
        </w:rPr>
      </w:pPr>
    </w:p>
    <w:p w14:paraId="1E62D44E" w14:textId="77777777" w:rsidR="006D2314" w:rsidRDefault="006D2314">
      <w:pPr>
        <w:rPr>
          <w:rFonts w:ascii="Arial" w:eastAsia="Arial" w:hAnsi="Arial" w:cs="Arial"/>
          <w:sz w:val="24"/>
        </w:rPr>
      </w:pPr>
    </w:p>
    <w:p w14:paraId="13D89A11" w14:textId="77777777" w:rsidR="006D2314" w:rsidRDefault="006D2314">
      <w:pPr>
        <w:rPr>
          <w:rFonts w:ascii="Arial" w:eastAsia="Arial" w:hAnsi="Arial" w:cs="Arial"/>
          <w:sz w:val="24"/>
        </w:rPr>
      </w:pPr>
    </w:p>
    <w:p w14:paraId="1B789B0E" w14:textId="77777777" w:rsidR="006D2314" w:rsidRDefault="006D2314">
      <w:pPr>
        <w:rPr>
          <w:rFonts w:ascii="Arial" w:eastAsia="Arial" w:hAnsi="Arial" w:cs="Arial"/>
          <w:sz w:val="24"/>
        </w:rPr>
      </w:pPr>
    </w:p>
    <w:p w14:paraId="6221FE09" w14:textId="77777777" w:rsidR="006D2314" w:rsidRDefault="006D2314">
      <w:pPr>
        <w:rPr>
          <w:rFonts w:ascii="Arial" w:eastAsia="Arial" w:hAnsi="Arial" w:cs="Arial"/>
          <w:sz w:val="24"/>
        </w:rPr>
      </w:pPr>
    </w:p>
    <w:p w14:paraId="619F9799" w14:textId="77777777" w:rsidR="006D2314" w:rsidRDefault="006D2314">
      <w:pPr>
        <w:rPr>
          <w:rFonts w:ascii="Arial" w:eastAsia="Arial" w:hAnsi="Arial" w:cs="Arial"/>
          <w:sz w:val="24"/>
        </w:rPr>
      </w:pPr>
    </w:p>
    <w:p w14:paraId="4029D8B2" w14:textId="09D6B09B" w:rsidR="00624CEA" w:rsidRDefault="00B17F92">
      <w:pPr>
        <w:rPr>
          <w:rFonts w:ascii="Arial" w:eastAsia="Arial" w:hAnsi="Arial" w:cs="Arial"/>
          <w:sz w:val="24"/>
        </w:rPr>
      </w:pPr>
      <w:r w:rsidRPr="00AB4DC9">
        <w:rPr>
          <w:rFonts w:ascii="Arial" w:eastAsia="Arial" w:hAnsi="Arial" w:cs="Arial"/>
          <w:sz w:val="24"/>
        </w:rPr>
        <w:t xml:space="preserve">To </w:t>
      </w:r>
      <w:r>
        <w:rPr>
          <w:rFonts w:ascii="Arial" w:eastAsia="Arial" w:hAnsi="Arial" w:cs="Arial"/>
          <w:sz w:val="24"/>
        </w:rPr>
        <w:t>unpack and highlight</w:t>
      </w:r>
      <w:r w:rsidRPr="00AB4DC9">
        <w:rPr>
          <w:rFonts w:ascii="Arial" w:eastAsia="Arial" w:hAnsi="Arial" w:cs="Arial"/>
          <w:sz w:val="24"/>
        </w:rPr>
        <w:t xml:space="preserve"> the nature and extent of poverty amongst people with disability</w:t>
      </w:r>
      <w:r w:rsidR="006D2314">
        <w:rPr>
          <w:rFonts w:ascii="Arial" w:eastAsia="Arial" w:hAnsi="Arial" w:cs="Arial"/>
          <w:sz w:val="24"/>
        </w:rPr>
        <w:t xml:space="preserve"> both in the ACT and across Australia more broadly</w:t>
      </w:r>
      <w:r w:rsidRPr="00AB4DC9">
        <w:rPr>
          <w:rFonts w:ascii="Arial" w:eastAsia="Arial" w:hAnsi="Arial" w:cs="Arial"/>
          <w:sz w:val="24"/>
        </w:rPr>
        <w:t>,</w:t>
      </w:r>
      <w:r>
        <w:rPr>
          <w:rFonts w:ascii="Arial" w:eastAsia="Arial" w:hAnsi="Arial" w:cs="Arial"/>
          <w:sz w:val="24"/>
        </w:rPr>
        <w:t xml:space="preserve"> this</w:t>
      </w:r>
      <w:r w:rsidRPr="00AB4DC9">
        <w:rPr>
          <w:rFonts w:ascii="Arial" w:eastAsia="Arial" w:hAnsi="Arial" w:cs="Arial"/>
          <w:sz w:val="24"/>
        </w:rPr>
        <w:t xml:space="preserve"> submission focuses</w:t>
      </w:r>
      <w:r w:rsidR="00AE4A67">
        <w:rPr>
          <w:rFonts w:ascii="Arial" w:eastAsia="Arial" w:hAnsi="Arial" w:cs="Arial"/>
          <w:sz w:val="24"/>
        </w:rPr>
        <w:t xml:space="preserve"> </w:t>
      </w:r>
      <w:r w:rsidRPr="00AB4DC9">
        <w:rPr>
          <w:rFonts w:ascii="Arial" w:eastAsia="Arial" w:hAnsi="Arial" w:cs="Arial"/>
          <w:sz w:val="24"/>
        </w:rPr>
        <w:t xml:space="preserve">on two specific drivers detailed in two </w:t>
      </w:r>
      <w:r>
        <w:rPr>
          <w:rFonts w:ascii="Arial" w:eastAsia="Arial" w:hAnsi="Arial" w:cs="Arial"/>
          <w:sz w:val="24"/>
        </w:rPr>
        <w:t>supporting</w:t>
      </w:r>
      <w:r w:rsidRPr="00AB4DC9">
        <w:rPr>
          <w:rFonts w:ascii="Arial" w:eastAsia="Arial" w:hAnsi="Arial" w:cs="Arial"/>
          <w:sz w:val="24"/>
        </w:rPr>
        <w:t xml:space="preserve"> </w:t>
      </w:r>
      <w:r w:rsidR="00864013">
        <w:rPr>
          <w:rFonts w:ascii="Arial" w:eastAsia="Arial" w:hAnsi="Arial" w:cs="Arial"/>
          <w:sz w:val="24"/>
        </w:rPr>
        <w:t>w</w:t>
      </w:r>
      <w:r w:rsidRPr="00AB4DC9">
        <w:rPr>
          <w:rFonts w:ascii="Arial" w:eastAsia="Arial" w:hAnsi="Arial" w:cs="Arial"/>
          <w:sz w:val="24"/>
        </w:rPr>
        <w:t xml:space="preserve">hite </w:t>
      </w:r>
      <w:r w:rsidR="00864013">
        <w:rPr>
          <w:rFonts w:ascii="Arial" w:eastAsia="Arial" w:hAnsi="Arial" w:cs="Arial"/>
          <w:sz w:val="24"/>
        </w:rPr>
        <w:t>p</w:t>
      </w:r>
      <w:r w:rsidRPr="00AB4DC9">
        <w:rPr>
          <w:rFonts w:ascii="Arial" w:eastAsia="Arial" w:hAnsi="Arial" w:cs="Arial"/>
          <w:sz w:val="24"/>
        </w:rPr>
        <w:t>apers</w:t>
      </w:r>
      <w:r>
        <w:rPr>
          <w:rFonts w:ascii="Arial" w:eastAsia="Arial" w:hAnsi="Arial" w:cs="Arial"/>
          <w:sz w:val="24"/>
        </w:rPr>
        <w:t xml:space="preserve"> (Attachment 1 and 2)</w:t>
      </w:r>
      <w:r w:rsidRPr="00AB4DC9">
        <w:rPr>
          <w:rFonts w:ascii="Arial" w:eastAsia="Arial" w:hAnsi="Arial" w:cs="Arial"/>
          <w:sz w:val="24"/>
        </w:rPr>
        <w:t xml:space="preserve">. </w:t>
      </w:r>
    </w:p>
    <w:p w14:paraId="4DCF73A6" w14:textId="3EB84ACE" w:rsidR="006C7F0C" w:rsidRDefault="00AB4DC9">
      <w:pPr>
        <w:rPr>
          <w:rFonts w:ascii="Arial" w:eastAsia="Arial" w:hAnsi="Arial" w:cs="Arial"/>
          <w:sz w:val="24"/>
        </w:rPr>
      </w:pPr>
      <w:r>
        <w:rPr>
          <w:rFonts w:ascii="Arial" w:eastAsia="Arial" w:hAnsi="Arial" w:cs="Arial"/>
          <w:sz w:val="24"/>
        </w:rPr>
        <w:t xml:space="preserve">The </w:t>
      </w:r>
      <w:r w:rsidR="00624CEA">
        <w:rPr>
          <w:rFonts w:ascii="Arial" w:eastAsia="Arial" w:hAnsi="Arial" w:cs="Arial"/>
          <w:sz w:val="24"/>
        </w:rPr>
        <w:t>first</w:t>
      </w:r>
      <w:r>
        <w:rPr>
          <w:rFonts w:ascii="Arial" w:eastAsia="Arial" w:hAnsi="Arial" w:cs="Arial"/>
          <w:sz w:val="24"/>
        </w:rPr>
        <w:t xml:space="preserve"> </w:t>
      </w:r>
      <w:r w:rsidR="00864013">
        <w:rPr>
          <w:rFonts w:ascii="Arial" w:eastAsia="Arial" w:hAnsi="Arial" w:cs="Arial"/>
          <w:sz w:val="24"/>
        </w:rPr>
        <w:t>w</w:t>
      </w:r>
      <w:r w:rsidR="00624CEA">
        <w:rPr>
          <w:rFonts w:ascii="Arial" w:eastAsia="Arial" w:hAnsi="Arial" w:cs="Arial"/>
          <w:sz w:val="24"/>
        </w:rPr>
        <w:t xml:space="preserve">hite </w:t>
      </w:r>
      <w:r w:rsidR="00864013">
        <w:rPr>
          <w:rFonts w:ascii="Arial" w:eastAsia="Arial" w:hAnsi="Arial" w:cs="Arial"/>
          <w:sz w:val="24"/>
        </w:rPr>
        <w:t>p</w:t>
      </w:r>
      <w:r w:rsidR="00624CEA">
        <w:rPr>
          <w:rFonts w:ascii="Arial" w:eastAsia="Arial" w:hAnsi="Arial" w:cs="Arial"/>
          <w:sz w:val="24"/>
        </w:rPr>
        <w:t>aper</w:t>
      </w:r>
      <w:r>
        <w:rPr>
          <w:rFonts w:ascii="Arial" w:eastAsia="Arial" w:hAnsi="Arial" w:cs="Arial"/>
          <w:sz w:val="24"/>
        </w:rPr>
        <w:t xml:space="preserve"> details the</w:t>
      </w:r>
      <w:r w:rsidR="00CC714B">
        <w:rPr>
          <w:rFonts w:ascii="Arial" w:eastAsia="Arial" w:hAnsi="Arial" w:cs="Arial"/>
          <w:sz w:val="24"/>
        </w:rPr>
        <w:t xml:space="preserve"> connections between</w:t>
      </w:r>
      <w:r w:rsidR="006C7F0C">
        <w:rPr>
          <w:rFonts w:ascii="Arial" w:eastAsia="Arial" w:hAnsi="Arial" w:cs="Arial"/>
          <w:sz w:val="24"/>
        </w:rPr>
        <w:t xml:space="preserve"> income support</w:t>
      </w:r>
      <w:r w:rsidR="00BC4903">
        <w:rPr>
          <w:rFonts w:ascii="Arial" w:eastAsia="Arial" w:hAnsi="Arial" w:cs="Arial"/>
          <w:sz w:val="24"/>
        </w:rPr>
        <w:t>, constrained or intermittent access to paid work</w:t>
      </w:r>
      <w:r w:rsidR="00CC714B">
        <w:rPr>
          <w:rFonts w:ascii="Arial" w:eastAsia="Arial" w:hAnsi="Arial" w:cs="Arial"/>
          <w:sz w:val="24"/>
        </w:rPr>
        <w:t xml:space="preserve"> and poverty among people with disability.</w:t>
      </w:r>
      <w:r w:rsidR="00BC4903">
        <w:rPr>
          <w:rFonts w:ascii="Arial" w:eastAsia="Arial" w:hAnsi="Arial" w:cs="Arial"/>
          <w:sz w:val="24"/>
        </w:rPr>
        <w:t xml:space="preserve"> More than half of people with disability across Australia rely on a government pension or allowance as their primary source of income. </w:t>
      </w:r>
      <w:r w:rsidR="00B4045F">
        <w:rPr>
          <w:rFonts w:ascii="Arial" w:eastAsia="Arial" w:hAnsi="Arial" w:cs="Arial"/>
          <w:sz w:val="24"/>
        </w:rPr>
        <w:t>The</w:t>
      </w:r>
      <w:r w:rsidR="00D72DFC">
        <w:rPr>
          <w:rFonts w:ascii="Arial" w:eastAsia="Arial" w:hAnsi="Arial" w:cs="Arial"/>
          <w:sz w:val="24"/>
        </w:rPr>
        <w:t xml:space="preserve"> inquiry </w:t>
      </w:r>
      <w:r w:rsidR="002C0AE6">
        <w:rPr>
          <w:rFonts w:ascii="Arial" w:eastAsia="Arial" w:hAnsi="Arial" w:cs="Arial"/>
          <w:sz w:val="24"/>
        </w:rPr>
        <w:t xml:space="preserve">and corresponding report </w:t>
      </w:r>
      <w:r w:rsidR="00D72DFC">
        <w:rPr>
          <w:rFonts w:ascii="Arial" w:eastAsia="Arial" w:hAnsi="Arial" w:cs="Arial"/>
          <w:sz w:val="24"/>
        </w:rPr>
        <w:t xml:space="preserve">into the </w:t>
      </w:r>
      <w:r w:rsidR="00B4045F">
        <w:rPr>
          <w:rFonts w:ascii="Arial" w:eastAsia="Arial" w:hAnsi="Arial" w:cs="Arial"/>
          <w:sz w:val="24"/>
        </w:rPr>
        <w:t xml:space="preserve">purpose, intent, and adequacy </w:t>
      </w:r>
      <w:r w:rsidR="00FE51E8">
        <w:rPr>
          <w:rFonts w:ascii="Arial" w:eastAsia="Arial" w:hAnsi="Arial" w:cs="Arial"/>
          <w:sz w:val="24"/>
        </w:rPr>
        <w:t xml:space="preserve">of the </w:t>
      </w:r>
      <w:r w:rsidR="00B4045F">
        <w:rPr>
          <w:rFonts w:ascii="Arial" w:eastAsia="Arial" w:hAnsi="Arial" w:cs="Arial"/>
          <w:sz w:val="24"/>
        </w:rPr>
        <w:t xml:space="preserve">Disability Support Pension </w:t>
      </w:r>
      <w:r w:rsidR="00D72DFC">
        <w:rPr>
          <w:rFonts w:ascii="Arial" w:eastAsia="Arial" w:hAnsi="Arial" w:cs="Arial"/>
          <w:sz w:val="24"/>
        </w:rPr>
        <w:t>highlighted the close</w:t>
      </w:r>
      <w:r w:rsidR="002C0AE6">
        <w:rPr>
          <w:rFonts w:ascii="Arial" w:eastAsia="Arial" w:hAnsi="Arial" w:cs="Arial"/>
          <w:sz w:val="24"/>
        </w:rPr>
        <w:t xml:space="preserve"> and reinforcing</w:t>
      </w:r>
      <w:r w:rsidR="00D72DFC">
        <w:rPr>
          <w:rFonts w:ascii="Arial" w:eastAsia="Arial" w:hAnsi="Arial" w:cs="Arial"/>
          <w:sz w:val="24"/>
        </w:rPr>
        <w:t xml:space="preserve"> relationship between systems of income support and poverty amongst people with disability. As such, the </w:t>
      </w:r>
      <w:r w:rsidR="00101C6F">
        <w:rPr>
          <w:rFonts w:ascii="Arial" w:eastAsia="Arial" w:hAnsi="Arial" w:cs="Arial"/>
          <w:sz w:val="24"/>
        </w:rPr>
        <w:t>extent</w:t>
      </w:r>
      <w:r w:rsidR="00D72DFC">
        <w:rPr>
          <w:rFonts w:ascii="Arial" w:eastAsia="Arial" w:hAnsi="Arial" w:cs="Arial"/>
          <w:sz w:val="24"/>
        </w:rPr>
        <w:t xml:space="preserve"> and nature of poverty among people with disability must be examined within the context of income support.    </w:t>
      </w:r>
      <w:r w:rsidR="00B4045F">
        <w:rPr>
          <w:rFonts w:ascii="Arial" w:eastAsia="Arial" w:hAnsi="Arial" w:cs="Arial"/>
          <w:sz w:val="24"/>
        </w:rPr>
        <w:t xml:space="preserve"> </w:t>
      </w:r>
    </w:p>
    <w:p w14:paraId="67529A17" w14:textId="259327B0" w:rsidR="00886B62" w:rsidRDefault="00624CEA">
      <w:pPr>
        <w:rPr>
          <w:rFonts w:ascii="Arial" w:eastAsia="Arial" w:hAnsi="Arial" w:cs="Arial"/>
          <w:sz w:val="24"/>
        </w:rPr>
      </w:pPr>
      <w:r>
        <w:rPr>
          <w:rFonts w:ascii="Arial" w:eastAsia="Arial" w:hAnsi="Arial" w:cs="Arial"/>
          <w:sz w:val="24"/>
        </w:rPr>
        <w:t xml:space="preserve">The second </w:t>
      </w:r>
      <w:r w:rsidR="00864013">
        <w:rPr>
          <w:rFonts w:ascii="Arial" w:eastAsia="Arial" w:hAnsi="Arial" w:cs="Arial"/>
          <w:sz w:val="24"/>
        </w:rPr>
        <w:t>w</w:t>
      </w:r>
      <w:r>
        <w:rPr>
          <w:rFonts w:ascii="Arial" w:eastAsia="Arial" w:hAnsi="Arial" w:cs="Arial"/>
          <w:sz w:val="24"/>
        </w:rPr>
        <w:t xml:space="preserve">hite </w:t>
      </w:r>
      <w:r w:rsidR="00864013">
        <w:rPr>
          <w:rFonts w:ascii="Arial" w:eastAsia="Arial" w:hAnsi="Arial" w:cs="Arial"/>
          <w:sz w:val="24"/>
        </w:rPr>
        <w:t>p</w:t>
      </w:r>
      <w:r>
        <w:rPr>
          <w:rFonts w:ascii="Arial" w:eastAsia="Arial" w:hAnsi="Arial" w:cs="Arial"/>
          <w:sz w:val="24"/>
        </w:rPr>
        <w:t>aper focuses on the role of insecure, inaccessible, and unaffordable housing as a driver of poverty among</w:t>
      </w:r>
      <w:r w:rsidR="00A85C3D">
        <w:rPr>
          <w:rFonts w:ascii="Arial" w:eastAsia="Arial" w:hAnsi="Arial" w:cs="Arial"/>
          <w:sz w:val="24"/>
        </w:rPr>
        <w:t>st</w:t>
      </w:r>
      <w:r>
        <w:rPr>
          <w:rFonts w:ascii="Arial" w:eastAsia="Arial" w:hAnsi="Arial" w:cs="Arial"/>
          <w:sz w:val="24"/>
        </w:rPr>
        <w:t xml:space="preserve"> people with disability. </w:t>
      </w:r>
      <w:r w:rsidR="00636BC8">
        <w:rPr>
          <w:rFonts w:ascii="Arial" w:eastAsia="Arial" w:hAnsi="Arial" w:cs="Arial"/>
          <w:sz w:val="24"/>
        </w:rPr>
        <w:t xml:space="preserve">Housing plays a major role in the health and well-being of people with disability by providing shelter, safety and security. </w:t>
      </w:r>
      <w:r>
        <w:rPr>
          <w:rFonts w:ascii="Arial" w:eastAsia="Arial" w:hAnsi="Arial" w:cs="Arial"/>
          <w:sz w:val="24"/>
        </w:rPr>
        <w:t xml:space="preserve">Across Australia, people with disability are needing to increase their disposable income by half (in the short run) just to achieve the same standard of living as people without disability. </w:t>
      </w:r>
    </w:p>
    <w:p w14:paraId="73E2C76A" w14:textId="29D73D3E" w:rsidR="00FB1BB7" w:rsidRDefault="00010A76">
      <w:pPr>
        <w:rPr>
          <w:rFonts w:ascii="Arial" w:eastAsia="Arial" w:hAnsi="Arial" w:cs="Arial"/>
          <w:sz w:val="24"/>
        </w:rPr>
      </w:pPr>
      <w:r>
        <w:rPr>
          <w:rFonts w:ascii="Arial" w:eastAsia="Arial" w:hAnsi="Arial" w:cs="Arial"/>
          <w:sz w:val="24"/>
        </w:rPr>
        <w:t xml:space="preserve">Recent reports </w:t>
      </w:r>
      <w:r w:rsidR="00EB4291">
        <w:rPr>
          <w:rFonts w:ascii="Arial" w:eastAsia="Arial" w:hAnsi="Arial" w:cs="Arial"/>
          <w:sz w:val="24"/>
        </w:rPr>
        <w:t>show that low-income earners are particularly susceptible to housing instability and rental stress.</w:t>
      </w:r>
      <w:r w:rsidR="003C0A9C">
        <w:rPr>
          <w:rStyle w:val="FootnoteReference"/>
          <w:rFonts w:ascii="Arial" w:eastAsia="Arial" w:hAnsi="Arial" w:cs="Arial"/>
          <w:sz w:val="24"/>
        </w:rPr>
        <w:footnoteReference w:id="7"/>
      </w:r>
      <w:r w:rsidR="00EB4291">
        <w:rPr>
          <w:rFonts w:ascii="Arial" w:eastAsia="Arial" w:hAnsi="Arial" w:cs="Arial"/>
          <w:sz w:val="24"/>
        </w:rPr>
        <w:t xml:space="preserve"> </w:t>
      </w:r>
      <w:r w:rsidR="00095972">
        <w:rPr>
          <w:rFonts w:ascii="Arial" w:eastAsia="Arial" w:hAnsi="Arial" w:cs="Arial"/>
          <w:sz w:val="24"/>
        </w:rPr>
        <w:t xml:space="preserve">More than a third of people receiving the Disability Support Pension and Commonwealth Rent Assistance are </w:t>
      </w:r>
      <w:r w:rsidR="0018456F">
        <w:rPr>
          <w:rFonts w:ascii="Arial" w:eastAsia="Arial" w:hAnsi="Arial" w:cs="Arial"/>
          <w:sz w:val="24"/>
        </w:rPr>
        <w:t xml:space="preserve">paying more than 30 per cent of their income on rent. </w:t>
      </w:r>
      <w:r w:rsidR="006E20E4">
        <w:rPr>
          <w:rFonts w:ascii="Arial" w:eastAsia="Arial" w:hAnsi="Arial" w:cs="Arial"/>
          <w:sz w:val="24"/>
        </w:rPr>
        <w:t xml:space="preserve">Surveys </w:t>
      </w:r>
      <w:r w:rsidR="00D044A7">
        <w:rPr>
          <w:rFonts w:ascii="Arial" w:eastAsia="Arial" w:hAnsi="Arial" w:cs="Arial"/>
          <w:sz w:val="24"/>
        </w:rPr>
        <w:t xml:space="preserve">such as the Anglicare </w:t>
      </w:r>
      <w:r w:rsidR="002E7F8D">
        <w:rPr>
          <w:rFonts w:ascii="Arial" w:eastAsia="Arial" w:hAnsi="Arial" w:cs="Arial"/>
          <w:sz w:val="24"/>
        </w:rPr>
        <w:t xml:space="preserve">Rental Affordability Snapshot consistently show </w:t>
      </w:r>
      <w:r w:rsidR="00692D2F">
        <w:rPr>
          <w:rFonts w:ascii="Arial" w:eastAsia="Arial" w:hAnsi="Arial" w:cs="Arial"/>
          <w:sz w:val="24"/>
        </w:rPr>
        <w:t xml:space="preserve">the limited supply of affordable houses for </w:t>
      </w:r>
      <w:r w:rsidR="00A71A58">
        <w:rPr>
          <w:rFonts w:ascii="Arial" w:eastAsia="Arial" w:hAnsi="Arial" w:cs="Arial"/>
          <w:sz w:val="24"/>
        </w:rPr>
        <w:t xml:space="preserve">people on the Disability Support Pension. In 2022, </w:t>
      </w:r>
      <w:r w:rsidR="005502A8">
        <w:rPr>
          <w:rFonts w:ascii="Arial" w:eastAsia="Arial" w:hAnsi="Arial" w:cs="Arial"/>
          <w:sz w:val="24"/>
        </w:rPr>
        <w:t xml:space="preserve">people on the DSP </w:t>
      </w:r>
      <w:r w:rsidR="00FB1BB7">
        <w:rPr>
          <w:rFonts w:ascii="Arial" w:eastAsia="Arial" w:hAnsi="Arial" w:cs="Arial"/>
          <w:sz w:val="24"/>
        </w:rPr>
        <w:t xml:space="preserve">all faced a market where 0.1 per cent of rentals </w:t>
      </w:r>
      <w:r w:rsidR="00215DAE">
        <w:rPr>
          <w:rFonts w:ascii="Arial" w:eastAsia="Arial" w:hAnsi="Arial" w:cs="Arial"/>
          <w:sz w:val="24"/>
        </w:rPr>
        <w:t>were</w:t>
      </w:r>
      <w:r w:rsidR="00FB1BB7">
        <w:rPr>
          <w:rFonts w:ascii="Arial" w:eastAsia="Arial" w:hAnsi="Arial" w:cs="Arial"/>
          <w:sz w:val="24"/>
        </w:rPr>
        <w:t xml:space="preserve"> affordable.</w:t>
      </w:r>
      <w:r w:rsidR="00267566">
        <w:rPr>
          <w:rStyle w:val="FootnoteReference"/>
          <w:rFonts w:ascii="Arial" w:eastAsia="Arial" w:hAnsi="Arial" w:cs="Arial"/>
          <w:sz w:val="24"/>
        </w:rPr>
        <w:footnoteReference w:id="8"/>
      </w:r>
      <w:r w:rsidR="00FB1BB7">
        <w:rPr>
          <w:rFonts w:ascii="Arial" w:eastAsia="Arial" w:hAnsi="Arial" w:cs="Arial"/>
          <w:sz w:val="24"/>
        </w:rPr>
        <w:t xml:space="preserve"> </w:t>
      </w:r>
    </w:p>
    <w:p w14:paraId="115BFADB" w14:textId="386CAE9A" w:rsidR="00EA4B8C" w:rsidRDefault="00624CEA">
      <w:pPr>
        <w:rPr>
          <w:rFonts w:ascii="Arial" w:eastAsia="Arial" w:hAnsi="Arial" w:cs="Arial"/>
          <w:sz w:val="24"/>
        </w:rPr>
      </w:pPr>
      <w:r>
        <w:rPr>
          <w:rFonts w:ascii="Arial" w:eastAsia="Arial" w:hAnsi="Arial" w:cs="Arial"/>
          <w:sz w:val="24"/>
        </w:rPr>
        <w:t>The challenges associated with sourcing,</w:t>
      </w:r>
      <w:r w:rsidR="00B4045F">
        <w:rPr>
          <w:rFonts w:ascii="Arial" w:eastAsia="Arial" w:hAnsi="Arial" w:cs="Arial"/>
          <w:sz w:val="24"/>
        </w:rPr>
        <w:t xml:space="preserve"> approving,</w:t>
      </w:r>
      <w:r>
        <w:rPr>
          <w:rFonts w:ascii="Arial" w:eastAsia="Arial" w:hAnsi="Arial" w:cs="Arial"/>
          <w:sz w:val="24"/>
        </w:rPr>
        <w:t xml:space="preserve"> and maintaining suitable housing mean that people with disability have a greater exposure to the risk of homelessness. In addition, with cost of living increasing,</w:t>
      </w:r>
      <w:r w:rsidR="00936E13">
        <w:rPr>
          <w:rFonts w:ascii="Arial" w:eastAsia="Arial" w:hAnsi="Arial" w:cs="Arial"/>
          <w:sz w:val="24"/>
        </w:rPr>
        <w:t xml:space="preserve"> </w:t>
      </w:r>
      <w:r>
        <w:rPr>
          <w:rFonts w:ascii="Arial" w:eastAsia="Arial" w:hAnsi="Arial" w:cs="Arial"/>
          <w:sz w:val="24"/>
        </w:rPr>
        <w:t xml:space="preserve">people with disability specifically are having to compromise on housing, utilities, food, clothing, medical bills, and additional costs that come with disability. </w:t>
      </w:r>
      <w:r w:rsidR="00036C64">
        <w:rPr>
          <w:rFonts w:ascii="Arial" w:eastAsia="Arial" w:hAnsi="Arial" w:cs="Arial"/>
          <w:sz w:val="24"/>
        </w:rPr>
        <w:t xml:space="preserve">To illustrate these costs, a sample fortnightly budget is </w:t>
      </w:r>
      <w:r w:rsidR="00F412DD">
        <w:rPr>
          <w:rFonts w:ascii="Arial" w:eastAsia="Arial" w:hAnsi="Arial" w:cs="Arial"/>
          <w:sz w:val="24"/>
        </w:rPr>
        <w:t>displayed</w:t>
      </w:r>
      <w:r w:rsidR="004F6517">
        <w:rPr>
          <w:rFonts w:ascii="Arial" w:eastAsia="Arial" w:hAnsi="Arial" w:cs="Arial"/>
          <w:sz w:val="24"/>
        </w:rPr>
        <w:t xml:space="preserve"> at the end of this submission</w:t>
      </w:r>
      <w:r w:rsidR="00604932">
        <w:rPr>
          <w:rFonts w:ascii="Arial" w:eastAsia="Arial" w:hAnsi="Arial" w:cs="Arial"/>
          <w:sz w:val="24"/>
        </w:rPr>
        <w:t xml:space="preserve"> (Attachment 3)</w:t>
      </w:r>
      <w:r w:rsidR="004F6517">
        <w:rPr>
          <w:rFonts w:ascii="Arial" w:eastAsia="Arial" w:hAnsi="Arial" w:cs="Arial"/>
          <w:sz w:val="24"/>
        </w:rPr>
        <w:t xml:space="preserve">. </w:t>
      </w:r>
    </w:p>
    <w:p w14:paraId="1729C8AD" w14:textId="77777777" w:rsidR="00D72DFC" w:rsidRDefault="00D72DFC">
      <w:pPr>
        <w:rPr>
          <w:rFonts w:ascii="Arial" w:eastAsia="Arial" w:hAnsi="Arial" w:cs="Arial"/>
          <w:sz w:val="24"/>
        </w:rPr>
      </w:pPr>
    </w:p>
    <w:p w14:paraId="6BED8D32" w14:textId="77777777" w:rsidR="00E05B97" w:rsidRDefault="00E05B97">
      <w:pPr>
        <w:rPr>
          <w:rFonts w:ascii="Arial" w:eastAsia="Arial" w:hAnsi="Arial" w:cs="Arial"/>
          <w:sz w:val="24"/>
          <w:u w:val="single"/>
        </w:rPr>
      </w:pPr>
    </w:p>
    <w:p w14:paraId="4911FA0B" w14:textId="77777777" w:rsidR="00E05B97" w:rsidRDefault="00E05B97">
      <w:pPr>
        <w:rPr>
          <w:rFonts w:ascii="Arial" w:eastAsia="Arial" w:hAnsi="Arial" w:cs="Arial"/>
          <w:sz w:val="24"/>
          <w:u w:val="single"/>
        </w:rPr>
      </w:pPr>
    </w:p>
    <w:p w14:paraId="402879DB" w14:textId="77777777" w:rsidR="00E05B97" w:rsidRDefault="00E05B97">
      <w:pPr>
        <w:rPr>
          <w:rFonts w:ascii="Arial" w:eastAsia="Arial" w:hAnsi="Arial" w:cs="Arial"/>
          <w:sz w:val="24"/>
          <w:u w:val="single"/>
        </w:rPr>
      </w:pPr>
    </w:p>
    <w:p w14:paraId="493725FA" w14:textId="77777777" w:rsidR="00E05B97" w:rsidRDefault="00E05B97">
      <w:pPr>
        <w:rPr>
          <w:rFonts w:ascii="Arial" w:eastAsia="Arial" w:hAnsi="Arial" w:cs="Arial"/>
          <w:sz w:val="24"/>
          <w:u w:val="single"/>
        </w:rPr>
      </w:pPr>
    </w:p>
    <w:p w14:paraId="43D8ABD3" w14:textId="77777777" w:rsidR="00E05B97" w:rsidRDefault="00E05B97">
      <w:pPr>
        <w:rPr>
          <w:rFonts w:ascii="Arial" w:eastAsia="Arial" w:hAnsi="Arial" w:cs="Arial"/>
          <w:sz w:val="24"/>
          <w:u w:val="single"/>
        </w:rPr>
      </w:pPr>
    </w:p>
    <w:p w14:paraId="09EF468A" w14:textId="63B8CE8C" w:rsidR="00B4045F" w:rsidRPr="00B4045F" w:rsidRDefault="00B4045F">
      <w:pPr>
        <w:rPr>
          <w:rFonts w:ascii="Arial" w:eastAsia="Arial" w:hAnsi="Arial" w:cs="Arial"/>
          <w:sz w:val="24"/>
          <w:u w:val="single"/>
        </w:rPr>
      </w:pPr>
      <w:r w:rsidRPr="00B4045F">
        <w:rPr>
          <w:rFonts w:ascii="Arial" w:eastAsia="Arial" w:hAnsi="Arial" w:cs="Arial"/>
          <w:sz w:val="24"/>
          <w:u w:val="single"/>
        </w:rPr>
        <w:t>Recommendations at a glance</w:t>
      </w:r>
      <w:r>
        <w:rPr>
          <w:rFonts w:ascii="Arial" w:eastAsia="Arial" w:hAnsi="Arial" w:cs="Arial"/>
          <w:sz w:val="24"/>
          <w:u w:val="single"/>
        </w:rPr>
        <w:t>:</w:t>
      </w:r>
    </w:p>
    <w:p w14:paraId="1BAB9138" w14:textId="30F15A3E" w:rsidR="00B4045F" w:rsidRDefault="00D72DFC">
      <w:pPr>
        <w:rPr>
          <w:rFonts w:ascii="Arial" w:eastAsia="Arial" w:hAnsi="Arial" w:cs="Arial"/>
          <w:sz w:val="24"/>
        </w:rPr>
      </w:pPr>
      <w:r>
        <w:rPr>
          <w:rFonts w:ascii="Arial" w:eastAsia="Arial" w:hAnsi="Arial" w:cs="Arial"/>
          <w:sz w:val="24"/>
        </w:rPr>
        <w:t>Advocacy for Inclusion consistently hears from people on the Disability Support Pension</w:t>
      </w:r>
      <w:r w:rsidR="00EA4439">
        <w:rPr>
          <w:rFonts w:ascii="Arial" w:eastAsia="Arial" w:hAnsi="Arial" w:cs="Arial"/>
          <w:sz w:val="24"/>
        </w:rPr>
        <w:t xml:space="preserve"> who are</w:t>
      </w:r>
      <w:r>
        <w:rPr>
          <w:rFonts w:ascii="Arial" w:eastAsia="Arial" w:hAnsi="Arial" w:cs="Arial"/>
          <w:sz w:val="24"/>
        </w:rPr>
        <w:t xml:space="preserve"> unable to sustain independence, </w:t>
      </w:r>
      <w:r w:rsidR="00EA4439">
        <w:rPr>
          <w:rFonts w:ascii="Arial" w:eastAsia="Arial" w:hAnsi="Arial" w:cs="Arial"/>
          <w:sz w:val="24"/>
        </w:rPr>
        <w:t xml:space="preserve">at risk of </w:t>
      </w:r>
      <w:r>
        <w:rPr>
          <w:rFonts w:ascii="Arial" w:eastAsia="Arial" w:hAnsi="Arial" w:cs="Arial"/>
          <w:sz w:val="24"/>
        </w:rPr>
        <w:t>becoming isolated or stuck in less than ideal situations, and suffering negative health impacts. We recommend that the Federal Government:</w:t>
      </w:r>
    </w:p>
    <w:p w14:paraId="217EF8C9" w14:textId="177A18A1" w:rsidR="00AA2A4A" w:rsidRPr="00AE4A67" w:rsidRDefault="00D72DFC" w:rsidP="00AA2A4A">
      <w:pPr>
        <w:pStyle w:val="ListParagraph"/>
        <w:numPr>
          <w:ilvl w:val="0"/>
          <w:numId w:val="1"/>
        </w:numPr>
        <w:rPr>
          <w:rFonts w:ascii="Arial" w:eastAsia="Arial" w:hAnsi="Arial" w:cs="Arial"/>
          <w:sz w:val="24"/>
        </w:rPr>
      </w:pPr>
      <w:r>
        <w:rPr>
          <w:rFonts w:ascii="Arial" w:eastAsia="Arial" w:hAnsi="Arial" w:cs="Arial"/>
          <w:sz w:val="24"/>
        </w:rPr>
        <w:t xml:space="preserve">Acknowledge that for people with disability who cannot work, the Disability Support Pension (DSP) is a form of income replacement. </w:t>
      </w:r>
    </w:p>
    <w:p w14:paraId="6B6A6989" w14:textId="46764DDA" w:rsidR="00EA4439" w:rsidRPr="00AA2A4A" w:rsidRDefault="00D72DFC" w:rsidP="00EA4439">
      <w:pPr>
        <w:pStyle w:val="ListParagraph"/>
        <w:numPr>
          <w:ilvl w:val="0"/>
          <w:numId w:val="1"/>
        </w:numPr>
        <w:rPr>
          <w:rFonts w:ascii="Arial" w:eastAsia="Arial" w:hAnsi="Arial" w:cs="Arial"/>
          <w:sz w:val="24"/>
        </w:rPr>
      </w:pPr>
      <w:r>
        <w:rPr>
          <w:rFonts w:ascii="Arial" w:eastAsia="Arial" w:hAnsi="Arial" w:cs="Arial"/>
          <w:sz w:val="24"/>
        </w:rPr>
        <w:t>Acknowledge that the current rate of DSP (just over $450 per week) is inadequate to manage the</w:t>
      </w:r>
      <w:r w:rsidR="008E1682">
        <w:rPr>
          <w:rFonts w:ascii="Arial" w:eastAsia="Arial" w:hAnsi="Arial" w:cs="Arial"/>
          <w:sz w:val="24"/>
        </w:rPr>
        <w:t xml:space="preserve"> rising and added</w:t>
      </w:r>
      <w:r>
        <w:rPr>
          <w:rFonts w:ascii="Arial" w:eastAsia="Arial" w:hAnsi="Arial" w:cs="Arial"/>
          <w:sz w:val="24"/>
        </w:rPr>
        <w:t xml:space="preserve"> cost of living</w:t>
      </w:r>
      <w:r w:rsidR="008E1682">
        <w:rPr>
          <w:rFonts w:ascii="Arial" w:eastAsia="Arial" w:hAnsi="Arial" w:cs="Arial"/>
          <w:sz w:val="24"/>
        </w:rPr>
        <w:t xml:space="preserve"> </w:t>
      </w:r>
      <w:r w:rsidR="001E77FA">
        <w:rPr>
          <w:rFonts w:ascii="Arial" w:eastAsia="Arial" w:hAnsi="Arial" w:cs="Arial"/>
          <w:sz w:val="24"/>
        </w:rPr>
        <w:t>stemming from disability</w:t>
      </w:r>
      <w:r w:rsidR="0039597A">
        <w:rPr>
          <w:rFonts w:ascii="Arial" w:eastAsia="Arial" w:hAnsi="Arial" w:cs="Arial"/>
          <w:sz w:val="24"/>
        </w:rPr>
        <w:t>.</w:t>
      </w:r>
    </w:p>
    <w:p w14:paraId="53ED784C" w14:textId="2987E814" w:rsidR="00A50E8D" w:rsidRDefault="00A50E8D" w:rsidP="00D72DFC">
      <w:pPr>
        <w:pStyle w:val="ListParagraph"/>
        <w:numPr>
          <w:ilvl w:val="0"/>
          <w:numId w:val="1"/>
        </w:numPr>
        <w:rPr>
          <w:rFonts w:ascii="Arial" w:eastAsia="Arial" w:hAnsi="Arial" w:cs="Arial"/>
          <w:sz w:val="24"/>
        </w:rPr>
      </w:pPr>
      <w:r>
        <w:rPr>
          <w:rFonts w:ascii="Arial" w:eastAsia="Arial" w:hAnsi="Arial" w:cs="Arial"/>
          <w:sz w:val="24"/>
        </w:rPr>
        <w:t>Raise the DSP to enable people with disability to live independently, with dignity, and actively participate in their communities, and</w:t>
      </w:r>
    </w:p>
    <w:p w14:paraId="6C94F0D1" w14:textId="4DD330C6" w:rsidR="00A50E8D" w:rsidRPr="00D72DFC" w:rsidRDefault="00EC57A6" w:rsidP="00D72DFC">
      <w:pPr>
        <w:pStyle w:val="ListParagraph"/>
        <w:numPr>
          <w:ilvl w:val="0"/>
          <w:numId w:val="1"/>
        </w:numPr>
        <w:rPr>
          <w:rFonts w:ascii="Arial" w:eastAsia="Arial" w:hAnsi="Arial" w:cs="Arial"/>
          <w:sz w:val="24"/>
        </w:rPr>
      </w:pPr>
      <w:r w:rsidRPr="00EC57A6">
        <w:rPr>
          <w:rStyle w:val="ui-provider"/>
          <w:rFonts w:ascii="Arial" w:hAnsi="Arial" w:cs="Arial"/>
          <w:sz w:val="24"/>
          <w:szCs w:val="24"/>
        </w:rPr>
        <w:t>Take action to address the lack of accessible and affordable housing in the ACT by adequately funding public and community housing. In addition</w:t>
      </w:r>
      <w:r>
        <w:rPr>
          <w:rStyle w:val="ui-provider"/>
          <w:rFonts w:ascii="Arial" w:hAnsi="Arial" w:cs="Arial"/>
          <w:sz w:val="24"/>
          <w:szCs w:val="24"/>
        </w:rPr>
        <w:t>,</w:t>
      </w:r>
      <w:r w:rsidRPr="00EC57A6">
        <w:rPr>
          <w:rStyle w:val="ui-provider"/>
          <w:rFonts w:ascii="Arial" w:hAnsi="Arial" w:cs="Arial"/>
          <w:sz w:val="24"/>
          <w:szCs w:val="24"/>
        </w:rPr>
        <w:t xml:space="preserve"> AFI believes that any program of debt forgiveness for public housing between the ACT and the Commonwealth should include a requirement that a percentage of new stock should be delivered as ‘access ready’ so that it can immediately start to address the housing crisis faced by people with disability</w:t>
      </w:r>
      <w:r w:rsidR="00A50E8D" w:rsidRPr="00EC57A6">
        <w:rPr>
          <w:rFonts w:ascii="Arial" w:eastAsia="Arial" w:hAnsi="Arial" w:cs="Arial"/>
          <w:sz w:val="24"/>
          <w:szCs w:val="24"/>
        </w:rPr>
        <w:t xml:space="preserve">. </w:t>
      </w:r>
    </w:p>
    <w:p w14:paraId="0EAC2232" w14:textId="77777777" w:rsidR="00C3389D" w:rsidRDefault="00C3389D">
      <w:pPr>
        <w:rPr>
          <w:rFonts w:ascii="Arial" w:eastAsia="Arial" w:hAnsi="Arial" w:cs="Arial"/>
          <w:sz w:val="24"/>
        </w:rPr>
      </w:pPr>
    </w:p>
    <w:p w14:paraId="7AE0711B" w14:textId="0E1675A6" w:rsidR="00C3389D" w:rsidRDefault="00A50E8D">
      <w:pPr>
        <w:rPr>
          <w:rFonts w:ascii="Arial" w:eastAsia="Arial" w:hAnsi="Arial" w:cs="Arial"/>
          <w:sz w:val="24"/>
        </w:rPr>
      </w:pPr>
      <w:r>
        <w:rPr>
          <w:rFonts w:ascii="Arial" w:eastAsia="Arial" w:hAnsi="Arial" w:cs="Arial"/>
          <w:sz w:val="24"/>
        </w:rPr>
        <w:t xml:space="preserve">In both white papers, we detail a series of additional policy priorities to consider, specifically in terms of easing the administrative burdens surrounding the DSP. </w:t>
      </w:r>
    </w:p>
    <w:p w14:paraId="0F90DAC1" w14:textId="22FAB3D8" w:rsidR="00864013" w:rsidRDefault="00A50E8D">
      <w:pPr>
        <w:rPr>
          <w:rFonts w:ascii="Arial" w:eastAsia="Arial" w:hAnsi="Arial" w:cs="Arial"/>
          <w:sz w:val="24"/>
        </w:rPr>
      </w:pPr>
      <w:r>
        <w:rPr>
          <w:rFonts w:ascii="Arial" w:eastAsia="Arial" w:hAnsi="Arial" w:cs="Arial"/>
          <w:sz w:val="24"/>
        </w:rPr>
        <w:t>Both white papers can be found here:</w:t>
      </w:r>
    </w:p>
    <w:p w14:paraId="70ED9598" w14:textId="22F87724" w:rsidR="00B4045F" w:rsidRDefault="00A50E8D">
      <w:pPr>
        <w:rPr>
          <w:rFonts w:ascii="Arial" w:eastAsia="Arial" w:hAnsi="Arial" w:cs="Arial"/>
          <w:sz w:val="24"/>
        </w:rPr>
      </w:pPr>
      <w:r>
        <w:rPr>
          <w:rFonts w:ascii="Arial" w:eastAsia="Arial" w:hAnsi="Arial" w:cs="Arial"/>
          <w:sz w:val="24"/>
        </w:rPr>
        <w:tab/>
      </w:r>
      <w:r w:rsidR="00B4045F">
        <w:rPr>
          <w:rFonts w:ascii="Arial" w:eastAsia="Arial" w:hAnsi="Arial" w:cs="Arial"/>
          <w:sz w:val="24"/>
        </w:rPr>
        <w:t xml:space="preserve">Attachment 1. </w:t>
      </w:r>
      <w:hyperlink r:id="rId11" w:history="1">
        <w:r w:rsidR="00B4045F" w:rsidRPr="00A50E8D">
          <w:rPr>
            <w:rStyle w:val="Hyperlink"/>
            <w:rFonts w:ascii="Arial" w:eastAsia="Arial" w:hAnsi="Arial" w:cs="Arial"/>
            <w:sz w:val="24"/>
          </w:rPr>
          <w:t>White Paper on Income Support</w:t>
        </w:r>
      </w:hyperlink>
    </w:p>
    <w:p w14:paraId="16B3E751" w14:textId="77777777" w:rsidR="00A50E8D" w:rsidRDefault="00A50E8D">
      <w:pPr>
        <w:rPr>
          <w:rFonts w:ascii="Arial" w:eastAsia="Arial" w:hAnsi="Arial" w:cs="Arial"/>
          <w:sz w:val="24"/>
        </w:rPr>
      </w:pPr>
      <w:r>
        <w:rPr>
          <w:rFonts w:ascii="Arial" w:eastAsia="Arial" w:hAnsi="Arial" w:cs="Arial"/>
          <w:sz w:val="24"/>
        </w:rPr>
        <w:tab/>
      </w:r>
      <w:r w:rsidR="00B4045F">
        <w:rPr>
          <w:rFonts w:ascii="Arial" w:eastAsia="Arial" w:hAnsi="Arial" w:cs="Arial"/>
          <w:sz w:val="24"/>
        </w:rPr>
        <w:t xml:space="preserve">Attachment 2. </w:t>
      </w:r>
      <w:hyperlink r:id="rId12" w:history="1">
        <w:r w:rsidR="00B4045F" w:rsidRPr="00A50E8D">
          <w:rPr>
            <w:rStyle w:val="Hyperlink"/>
            <w:rFonts w:ascii="Arial" w:eastAsia="Arial" w:hAnsi="Arial" w:cs="Arial"/>
            <w:sz w:val="24"/>
          </w:rPr>
          <w:t>White Paper on Housing</w:t>
        </w:r>
      </w:hyperlink>
    </w:p>
    <w:p w14:paraId="6ABC9055" w14:textId="77777777" w:rsidR="00C3389D" w:rsidRDefault="00C3389D" w:rsidP="00A50E8D">
      <w:pPr>
        <w:spacing w:after="0" w:line="240" w:lineRule="auto"/>
        <w:rPr>
          <w:rFonts w:ascii="Arial" w:hAnsi="Arial" w:cs="Arial"/>
          <w:sz w:val="24"/>
        </w:rPr>
      </w:pPr>
    </w:p>
    <w:p w14:paraId="36A45508" w14:textId="77777777" w:rsidR="00C3389D" w:rsidRDefault="00C3389D" w:rsidP="00A50E8D">
      <w:pPr>
        <w:spacing w:after="0" w:line="240" w:lineRule="auto"/>
        <w:rPr>
          <w:rFonts w:ascii="Arial" w:hAnsi="Arial" w:cs="Arial"/>
          <w:sz w:val="24"/>
        </w:rPr>
      </w:pPr>
    </w:p>
    <w:p w14:paraId="26EDEB6D" w14:textId="77777777" w:rsidR="00C3389D" w:rsidRDefault="00C3389D" w:rsidP="00A50E8D">
      <w:pPr>
        <w:spacing w:after="0" w:line="240" w:lineRule="auto"/>
        <w:rPr>
          <w:rFonts w:ascii="Arial" w:hAnsi="Arial" w:cs="Arial"/>
          <w:sz w:val="24"/>
        </w:rPr>
      </w:pPr>
    </w:p>
    <w:p w14:paraId="54494404" w14:textId="77777777" w:rsidR="00C3389D" w:rsidRDefault="00C3389D" w:rsidP="00A50E8D">
      <w:pPr>
        <w:spacing w:after="0" w:line="240" w:lineRule="auto"/>
        <w:rPr>
          <w:rFonts w:ascii="Arial" w:hAnsi="Arial" w:cs="Arial"/>
          <w:sz w:val="24"/>
        </w:rPr>
      </w:pPr>
    </w:p>
    <w:p w14:paraId="7098E4F7" w14:textId="77777777" w:rsidR="00C3389D" w:rsidRDefault="00C3389D" w:rsidP="00A50E8D">
      <w:pPr>
        <w:spacing w:after="0" w:line="240" w:lineRule="auto"/>
        <w:rPr>
          <w:rFonts w:ascii="Arial" w:hAnsi="Arial" w:cs="Arial"/>
          <w:sz w:val="24"/>
        </w:rPr>
      </w:pPr>
    </w:p>
    <w:p w14:paraId="4ACB58FD" w14:textId="77777777" w:rsidR="00C3389D" w:rsidRDefault="00C3389D" w:rsidP="00A50E8D">
      <w:pPr>
        <w:spacing w:after="0" w:line="240" w:lineRule="auto"/>
        <w:rPr>
          <w:rFonts w:ascii="Arial" w:hAnsi="Arial" w:cs="Arial"/>
          <w:sz w:val="24"/>
        </w:rPr>
      </w:pPr>
    </w:p>
    <w:p w14:paraId="06D92A2D" w14:textId="77777777" w:rsidR="00C3389D" w:rsidRDefault="00C3389D" w:rsidP="00A50E8D">
      <w:pPr>
        <w:spacing w:after="0" w:line="240" w:lineRule="auto"/>
        <w:rPr>
          <w:rFonts w:ascii="Arial" w:hAnsi="Arial" w:cs="Arial"/>
          <w:sz w:val="24"/>
        </w:rPr>
      </w:pPr>
    </w:p>
    <w:p w14:paraId="5F21B057" w14:textId="77777777" w:rsidR="00C3389D" w:rsidRDefault="00C3389D" w:rsidP="00A50E8D">
      <w:pPr>
        <w:spacing w:after="0" w:line="240" w:lineRule="auto"/>
        <w:rPr>
          <w:rFonts w:ascii="Arial" w:hAnsi="Arial" w:cs="Arial"/>
          <w:sz w:val="24"/>
        </w:rPr>
      </w:pPr>
    </w:p>
    <w:p w14:paraId="2CAE81AC" w14:textId="77777777" w:rsidR="00C3389D" w:rsidRDefault="00C3389D" w:rsidP="00A50E8D">
      <w:pPr>
        <w:spacing w:after="0" w:line="240" w:lineRule="auto"/>
        <w:rPr>
          <w:rFonts w:ascii="Arial" w:hAnsi="Arial" w:cs="Arial"/>
          <w:sz w:val="24"/>
        </w:rPr>
      </w:pPr>
    </w:p>
    <w:p w14:paraId="5B44804A" w14:textId="77777777" w:rsidR="00C3389D" w:rsidRDefault="00C3389D" w:rsidP="00A50E8D">
      <w:pPr>
        <w:spacing w:after="0" w:line="240" w:lineRule="auto"/>
        <w:rPr>
          <w:rFonts w:ascii="Arial" w:hAnsi="Arial" w:cs="Arial"/>
          <w:sz w:val="24"/>
        </w:rPr>
      </w:pPr>
    </w:p>
    <w:p w14:paraId="0AA8F0E2" w14:textId="77777777" w:rsidR="00CB7CDC" w:rsidRDefault="00CB7CDC" w:rsidP="00A50E8D">
      <w:pPr>
        <w:spacing w:after="0" w:line="240" w:lineRule="auto"/>
        <w:rPr>
          <w:rFonts w:ascii="Arial" w:hAnsi="Arial" w:cs="Arial"/>
          <w:sz w:val="24"/>
        </w:rPr>
      </w:pPr>
    </w:p>
    <w:p w14:paraId="0A34B5CA" w14:textId="77777777" w:rsidR="00CB7CDC" w:rsidRDefault="00CB7CDC" w:rsidP="00A50E8D">
      <w:pPr>
        <w:spacing w:after="0" w:line="240" w:lineRule="auto"/>
        <w:rPr>
          <w:rFonts w:ascii="Arial" w:hAnsi="Arial" w:cs="Arial"/>
          <w:sz w:val="24"/>
        </w:rPr>
      </w:pPr>
    </w:p>
    <w:p w14:paraId="52DC3BBF" w14:textId="77777777" w:rsidR="00CB7CDC" w:rsidRDefault="00CB7CDC" w:rsidP="00A50E8D">
      <w:pPr>
        <w:spacing w:after="0" w:line="240" w:lineRule="auto"/>
        <w:rPr>
          <w:rFonts w:ascii="Arial" w:hAnsi="Arial" w:cs="Arial"/>
          <w:sz w:val="24"/>
        </w:rPr>
      </w:pPr>
    </w:p>
    <w:p w14:paraId="502DA15B" w14:textId="77777777" w:rsidR="00CB7CDC" w:rsidRDefault="00CB7CDC" w:rsidP="00A50E8D">
      <w:pPr>
        <w:spacing w:after="0" w:line="240" w:lineRule="auto"/>
        <w:rPr>
          <w:rFonts w:ascii="Arial" w:hAnsi="Arial" w:cs="Arial"/>
          <w:sz w:val="24"/>
        </w:rPr>
      </w:pPr>
    </w:p>
    <w:p w14:paraId="286D559F" w14:textId="77777777" w:rsidR="00CB7CDC" w:rsidRDefault="00CB7CDC" w:rsidP="00A50E8D">
      <w:pPr>
        <w:spacing w:after="0" w:line="240" w:lineRule="auto"/>
        <w:rPr>
          <w:rFonts w:ascii="Arial" w:hAnsi="Arial" w:cs="Arial"/>
          <w:sz w:val="24"/>
        </w:rPr>
      </w:pPr>
    </w:p>
    <w:p w14:paraId="679CF8EE" w14:textId="77777777" w:rsidR="004F6517" w:rsidRDefault="004F6517" w:rsidP="00A50E8D">
      <w:pPr>
        <w:spacing w:after="0" w:line="240" w:lineRule="auto"/>
        <w:rPr>
          <w:rFonts w:ascii="Arial" w:hAnsi="Arial" w:cs="Arial"/>
          <w:sz w:val="24"/>
        </w:rPr>
      </w:pPr>
    </w:p>
    <w:p w14:paraId="75959CE8" w14:textId="77777777" w:rsidR="004F6517" w:rsidRDefault="004F6517" w:rsidP="00A50E8D">
      <w:pPr>
        <w:spacing w:after="0" w:line="240" w:lineRule="auto"/>
        <w:rPr>
          <w:rFonts w:ascii="Arial" w:hAnsi="Arial" w:cs="Arial"/>
          <w:sz w:val="24"/>
        </w:rPr>
      </w:pPr>
    </w:p>
    <w:p w14:paraId="3D9F71EF" w14:textId="77777777" w:rsidR="004F6517" w:rsidRDefault="004F6517" w:rsidP="00A50E8D">
      <w:pPr>
        <w:spacing w:after="0" w:line="240" w:lineRule="auto"/>
        <w:rPr>
          <w:rFonts w:ascii="Arial" w:hAnsi="Arial" w:cs="Arial"/>
          <w:sz w:val="24"/>
        </w:rPr>
      </w:pPr>
    </w:p>
    <w:p w14:paraId="1CC0E587" w14:textId="77777777" w:rsidR="004F6517" w:rsidRDefault="004F6517" w:rsidP="00A50E8D">
      <w:pPr>
        <w:spacing w:after="0" w:line="240" w:lineRule="auto"/>
        <w:rPr>
          <w:rFonts w:ascii="Arial" w:hAnsi="Arial" w:cs="Arial"/>
          <w:sz w:val="24"/>
        </w:rPr>
      </w:pPr>
    </w:p>
    <w:p w14:paraId="4BE4F669" w14:textId="28E2B831" w:rsidR="00A50E8D" w:rsidRDefault="00A50E8D" w:rsidP="00A50E8D">
      <w:pPr>
        <w:spacing w:after="0" w:line="240" w:lineRule="auto"/>
        <w:rPr>
          <w:rFonts w:ascii="Arial" w:hAnsi="Arial" w:cs="Arial"/>
          <w:sz w:val="24"/>
        </w:rPr>
      </w:pPr>
      <w:r>
        <w:rPr>
          <w:rFonts w:ascii="Arial" w:hAnsi="Arial" w:cs="Arial"/>
          <w:sz w:val="24"/>
        </w:rPr>
        <w:t xml:space="preserve">AFI are happy to provide further information or discuss this submission at a hearing. </w:t>
      </w:r>
    </w:p>
    <w:p w14:paraId="5E970AE3" w14:textId="77777777" w:rsidR="00A50E8D" w:rsidRDefault="00A50E8D" w:rsidP="00A50E8D">
      <w:pPr>
        <w:spacing w:after="0" w:line="240" w:lineRule="auto"/>
        <w:rPr>
          <w:rFonts w:ascii="Arial" w:hAnsi="Arial" w:cs="Arial"/>
          <w:sz w:val="24"/>
        </w:rPr>
      </w:pPr>
    </w:p>
    <w:p w14:paraId="1E8E831B" w14:textId="4A26C759" w:rsidR="00A50E8D" w:rsidRDefault="00A50E8D" w:rsidP="00A50E8D">
      <w:pPr>
        <w:spacing w:after="0" w:line="240" w:lineRule="auto"/>
        <w:rPr>
          <w:rFonts w:ascii="Arial" w:hAnsi="Arial" w:cs="Arial"/>
          <w:sz w:val="24"/>
          <w:szCs w:val="24"/>
        </w:rPr>
      </w:pPr>
      <w:r w:rsidRPr="6D40D19A">
        <w:rPr>
          <w:rFonts w:ascii="Arial" w:hAnsi="Arial" w:cs="Arial"/>
          <w:sz w:val="24"/>
          <w:szCs w:val="24"/>
        </w:rPr>
        <w:t xml:space="preserve">You can contact </w:t>
      </w:r>
      <w:r w:rsidR="46968AB0" w:rsidRPr="6D40D19A">
        <w:rPr>
          <w:rFonts w:ascii="Arial" w:hAnsi="Arial" w:cs="Arial"/>
          <w:sz w:val="24"/>
          <w:szCs w:val="24"/>
        </w:rPr>
        <w:t>our Head of Policy, Craig Wallace</w:t>
      </w:r>
      <w:r w:rsidRPr="6D40D19A">
        <w:rPr>
          <w:rFonts w:ascii="Arial" w:hAnsi="Arial" w:cs="Arial"/>
          <w:sz w:val="24"/>
          <w:szCs w:val="24"/>
        </w:rPr>
        <w:t xml:space="preserve"> on 0477 200 755 or </w:t>
      </w:r>
      <w:r w:rsidR="418A68CE" w:rsidRPr="6D40D19A">
        <w:rPr>
          <w:rFonts w:ascii="Arial" w:hAnsi="Arial" w:cs="Arial"/>
          <w:sz w:val="24"/>
          <w:szCs w:val="24"/>
        </w:rPr>
        <w:t>myself</w:t>
      </w:r>
      <w:r w:rsidRPr="6D40D19A">
        <w:rPr>
          <w:rFonts w:ascii="Arial" w:hAnsi="Arial" w:cs="Arial"/>
          <w:sz w:val="24"/>
          <w:szCs w:val="24"/>
        </w:rPr>
        <w:t xml:space="preserve"> on 0439 431 814.  </w:t>
      </w:r>
    </w:p>
    <w:p w14:paraId="5C486D36" w14:textId="77777777" w:rsidR="00A50E8D" w:rsidRDefault="00A50E8D" w:rsidP="00A50E8D">
      <w:pPr>
        <w:spacing w:after="0" w:line="240" w:lineRule="auto"/>
        <w:rPr>
          <w:rFonts w:ascii="Arial" w:hAnsi="Arial" w:cs="Arial"/>
          <w:sz w:val="24"/>
        </w:rPr>
      </w:pPr>
    </w:p>
    <w:p w14:paraId="7B496762" w14:textId="77777777" w:rsidR="00936E13" w:rsidRDefault="00936E13" w:rsidP="00A50E8D">
      <w:pPr>
        <w:spacing w:after="0" w:line="240" w:lineRule="auto"/>
        <w:rPr>
          <w:rFonts w:ascii="Arial" w:hAnsi="Arial" w:cs="Arial"/>
          <w:sz w:val="24"/>
        </w:rPr>
      </w:pPr>
    </w:p>
    <w:p w14:paraId="6192989E" w14:textId="781FE963" w:rsidR="00A50E8D" w:rsidRDefault="00A50E8D" w:rsidP="00A50E8D">
      <w:pPr>
        <w:spacing w:after="0" w:line="240" w:lineRule="auto"/>
        <w:rPr>
          <w:rFonts w:ascii="Arial" w:hAnsi="Arial" w:cs="Arial"/>
          <w:sz w:val="24"/>
        </w:rPr>
      </w:pPr>
      <w:r>
        <w:rPr>
          <w:rFonts w:ascii="Arial" w:hAnsi="Arial" w:cs="Arial"/>
          <w:sz w:val="24"/>
        </w:rPr>
        <w:t>Regards</w:t>
      </w:r>
    </w:p>
    <w:p w14:paraId="4FF5C3BC" w14:textId="77777777" w:rsidR="00A50E8D" w:rsidRDefault="00A50E8D" w:rsidP="00A50E8D">
      <w:pPr>
        <w:spacing w:after="0" w:line="240" w:lineRule="auto"/>
        <w:rPr>
          <w:rFonts w:ascii="Arial" w:hAnsi="Arial" w:cs="Arial"/>
          <w:sz w:val="24"/>
        </w:rPr>
      </w:pPr>
    </w:p>
    <w:p w14:paraId="2262D113" w14:textId="77777777" w:rsidR="00A50E8D" w:rsidRDefault="00A50E8D" w:rsidP="00A50E8D">
      <w:pPr>
        <w:spacing w:after="0" w:line="240" w:lineRule="auto"/>
        <w:rPr>
          <w:rFonts w:ascii="Arial" w:hAnsi="Arial" w:cs="Arial"/>
          <w:sz w:val="24"/>
        </w:rPr>
      </w:pPr>
      <w:r>
        <w:rPr>
          <w:rFonts w:ascii="Arial" w:hAnsi="Arial" w:cs="Arial"/>
          <w:sz w:val="24"/>
        </w:rPr>
        <w:t>(Signed by email)</w:t>
      </w:r>
    </w:p>
    <w:p w14:paraId="43FB8E35" w14:textId="77777777" w:rsidR="00A50E8D" w:rsidRDefault="00A50E8D" w:rsidP="00A50E8D">
      <w:pPr>
        <w:spacing w:after="0" w:line="240" w:lineRule="auto"/>
        <w:rPr>
          <w:rFonts w:ascii="Arial" w:hAnsi="Arial" w:cs="Arial"/>
          <w:sz w:val="24"/>
        </w:rPr>
      </w:pPr>
    </w:p>
    <w:p w14:paraId="743CCC65" w14:textId="0BAC8270" w:rsidR="70BA24B4" w:rsidRDefault="70BA24B4" w:rsidP="6D40D19A">
      <w:pPr>
        <w:spacing w:after="0" w:line="240" w:lineRule="auto"/>
        <w:rPr>
          <w:rFonts w:ascii="Arial" w:hAnsi="Arial" w:cs="Arial"/>
          <w:b/>
          <w:bCs/>
          <w:sz w:val="24"/>
          <w:szCs w:val="24"/>
        </w:rPr>
      </w:pPr>
      <w:r w:rsidRPr="6D40D19A">
        <w:rPr>
          <w:rFonts w:ascii="Arial" w:hAnsi="Arial" w:cs="Arial"/>
          <w:b/>
          <w:bCs/>
          <w:sz w:val="24"/>
          <w:szCs w:val="24"/>
        </w:rPr>
        <w:t>Nicolas Lawler</w:t>
      </w:r>
    </w:p>
    <w:p w14:paraId="0EE49C23" w14:textId="6D65A711" w:rsidR="70BA24B4" w:rsidRDefault="70BA24B4" w:rsidP="6D40D19A">
      <w:pPr>
        <w:spacing w:after="0" w:line="240" w:lineRule="auto"/>
      </w:pPr>
      <w:r w:rsidRPr="6D40D19A">
        <w:rPr>
          <w:rFonts w:ascii="Arial" w:hAnsi="Arial" w:cs="Arial"/>
          <w:sz w:val="24"/>
          <w:szCs w:val="24"/>
        </w:rPr>
        <w:t>Chief Executive Officer</w:t>
      </w:r>
    </w:p>
    <w:p w14:paraId="15F5308E" w14:textId="0F07CB38" w:rsidR="00A50E8D" w:rsidRDefault="00A50E8D" w:rsidP="00A50E8D">
      <w:pPr>
        <w:spacing w:after="0" w:line="240" w:lineRule="auto"/>
        <w:rPr>
          <w:rFonts w:ascii="Arial" w:hAnsi="Arial" w:cs="Arial"/>
          <w:sz w:val="24"/>
        </w:rPr>
      </w:pPr>
      <w:r>
        <w:rPr>
          <w:rFonts w:ascii="Arial" w:hAnsi="Arial" w:cs="Arial"/>
          <w:sz w:val="24"/>
        </w:rPr>
        <w:t>3 February 2023</w:t>
      </w:r>
    </w:p>
    <w:p w14:paraId="324BD357" w14:textId="77777777" w:rsidR="004F6517" w:rsidRDefault="004F6517" w:rsidP="00A50E8D">
      <w:pPr>
        <w:spacing w:after="0" w:line="240" w:lineRule="auto"/>
        <w:rPr>
          <w:rFonts w:ascii="Arial" w:hAnsi="Arial" w:cs="Arial"/>
          <w:sz w:val="24"/>
        </w:rPr>
      </w:pPr>
    </w:p>
    <w:p w14:paraId="47A46ED0" w14:textId="77777777" w:rsidR="004F6517" w:rsidRDefault="004F6517" w:rsidP="00A50E8D">
      <w:pPr>
        <w:spacing w:after="0" w:line="240" w:lineRule="auto"/>
        <w:rPr>
          <w:rFonts w:ascii="Arial" w:hAnsi="Arial" w:cs="Arial"/>
          <w:sz w:val="24"/>
        </w:rPr>
      </w:pPr>
    </w:p>
    <w:p w14:paraId="3AAF8A03" w14:textId="77777777" w:rsidR="004F6517" w:rsidRDefault="004F6517" w:rsidP="00A50E8D">
      <w:pPr>
        <w:spacing w:after="0" w:line="240" w:lineRule="auto"/>
        <w:rPr>
          <w:rFonts w:ascii="Arial" w:hAnsi="Arial" w:cs="Arial"/>
          <w:sz w:val="24"/>
        </w:rPr>
      </w:pPr>
    </w:p>
    <w:p w14:paraId="0AA95625" w14:textId="77777777" w:rsidR="004F6517" w:rsidRDefault="004F6517" w:rsidP="00A50E8D">
      <w:pPr>
        <w:spacing w:after="0" w:line="240" w:lineRule="auto"/>
        <w:rPr>
          <w:rFonts w:ascii="Arial" w:hAnsi="Arial" w:cs="Arial"/>
          <w:sz w:val="24"/>
        </w:rPr>
      </w:pPr>
    </w:p>
    <w:p w14:paraId="354E7FD6" w14:textId="77777777" w:rsidR="004F6517" w:rsidRDefault="004F6517" w:rsidP="00A50E8D">
      <w:pPr>
        <w:spacing w:after="0" w:line="240" w:lineRule="auto"/>
        <w:rPr>
          <w:rFonts w:ascii="Arial" w:hAnsi="Arial" w:cs="Arial"/>
          <w:sz w:val="24"/>
        </w:rPr>
      </w:pPr>
    </w:p>
    <w:p w14:paraId="311DA572" w14:textId="77777777" w:rsidR="004F6517" w:rsidRDefault="004F6517" w:rsidP="00A50E8D">
      <w:pPr>
        <w:spacing w:after="0" w:line="240" w:lineRule="auto"/>
        <w:rPr>
          <w:rFonts w:ascii="Arial" w:hAnsi="Arial" w:cs="Arial"/>
          <w:sz w:val="24"/>
        </w:rPr>
      </w:pPr>
    </w:p>
    <w:p w14:paraId="721B0B37" w14:textId="77777777" w:rsidR="004F6517" w:rsidRDefault="004F6517" w:rsidP="00A50E8D">
      <w:pPr>
        <w:spacing w:after="0" w:line="240" w:lineRule="auto"/>
        <w:rPr>
          <w:rFonts w:ascii="Arial" w:hAnsi="Arial" w:cs="Arial"/>
          <w:sz w:val="24"/>
        </w:rPr>
      </w:pPr>
    </w:p>
    <w:p w14:paraId="5D73B925" w14:textId="77777777" w:rsidR="004F6517" w:rsidRDefault="004F6517" w:rsidP="00A50E8D">
      <w:pPr>
        <w:spacing w:after="0" w:line="240" w:lineRule="auto"/>
        <w:rPr>
          <w:rFonts w:ascii="Arial" w:hAnsi="Arial" w:cs="Arial"/>
          <w:sz w:val="24"/>
        </w:rPr>
      </w:pPr>
    </w:p>
    <w:p w14:paraId="05E74349" w14:textId="77777777" w:rsidR="004F6517" w:rsidRDefault="004F6517" w:rsidP="00A50E8D">
      <w:pPr>
        <w:spacing w:after="0" w:line="240" w:lineRule="auto"/>
        <w:rPr>
          <w:rFonts w:ascii="Arial" w:hAnsi="Arial" w:cs="Arial"/>
          <w:sz w:val="24"/>
        </w:rPr>
      </w:pPr>
    </w:p>
    <w:p w14:paraId="4EFD91B7" w14:textId="77777777" w:rsidR="004F6517" w:rsidRDefault="004F6517" w:rsidP="00A50E8D">
      <w:pPr>
        <w:spacing w:after="0" w:line="240" w:lineRule="auto"/>
        <w:rPr>
          <w:rFonts w:ascii="Arial" w:hAnsi="Arial" w:cs="Arial"/>
          <w:sz w:val="24"/>
        </w:rPr>
      </w:pPr>
    </w:p>
    <w:p w14:paraId="5DBDA5E1" w14:textId="77777777" w:rsidR="004F6517" w:rsidRDefault="004F6517" w:rsidP="00A50E8D">
      <w:pPr>
        <w:spacing w:after="0" w:line="240" w:lineRule="auto"/>
        <w:rPr>
          <w:rFonts w:ascii="Arial" w:hAnsi="Arial" w:cs="Arial"/>
          <w:sz w:val="24"/>
        </w:rPr>
      </w:pPr>
    </w:p>
    <w:p w14:paraId="1DBB28E3" w14:textId="77777777" w:rsidR="004F6517" w:rsidRDefault="004F6517" w:rsidP="00A50E8D">
      <w:pPr>
        <w:spacing w:after="0" w:line="240" w:lineRule="auto"/>
        <w:rPr>
          <w:rFonts w:ascii="Arial" w:hAnsi="Arial" w:cs="Arial"/>
          <w:sz w:val="24"/>
        </w:rPr>
      </w:pPr>
    </w:p>
    <w:p w14:paraId="482C8272" w14:textId="77777777" w:rsidR="004F6517" w:rsidRDefault="004F6517" w:rsidP="00A50E8D">
      <w:pPr>
        <w:spacing w:after="0" w:line="240" w:lineRule="auto"/>
        <w:rPr>
          <w:rFonts w:ascii="Arial" w:hAnsi="Arial" w:cs="Arial"/>
          <w:sz w:val="24"/>
        </w:rPr>
      </w:pPr>
    </w:p>
    <w:p w14:paraId="6AAFFC0B" w14:textId="77777777" w:rsidR="004F6517" w:rsidRDefault="004F6517" w:rsidP="00A50E8D">
      <w:pPr>
        <w:spacing w:after="0" w:line="240" w:lineRule="auto"/>
        <w:rPr>
          <w:rFonts w:ascii="Arial" w:hAnsi="Arial" w:cs="Arial"/>
          <w:sz w:val="24"/>
        </w:rPr>
      </w:pPr>
    </w:p>
    <w:p w14:paraId="4E07C572" w14:textId="77777777" w:rsidR="004F6517" w:rsidRDefault="004F6517" w:rsidP="00A50E8D">
      <w:pPr>
        <w:spacing w:after="0" w:line="240" w:lineRule="auto"/>
        <w:rPr>
          <w:rFonts w:ascii="Arial" w:hAnsi="Arial" w:cs="Arial"/>
          <w:sz w:val="24"/>
        </w:rPr>
      </w:pPr>
    </w:p>
    <w:p w14:paraId="619393F0" w14:textId="77777777" w:rsidR="004F6517" w:rsidRDefault="004F6517" w:rsidP="00A50E8D">
      <w:pPr>
        <w:spacing w:after="0" w:line="240" w:lineRule="auto"/>
        <w:rPr>
          <w:rFonts w:ascii="Arial" w:hAnsi="Arial" w:cs="Arial"/>
          <w:sz w:val="24"/>
        </w:rPr>
      </w:pPr>
    </w:p>
    <w:p w14:paraId="7D203D91" w14:textId="77777777" w:rsidR="004F6517" w:rsidRDefault="004F6517" w:rsidP="00A50E8D">
      <w:pPr>
        <w:spacing w:after="0" w:line="240" w:lineRule="auto"/>
        <w:rPr>
          <w:rFonts w:ascii="Arial" w:hAnsi="Arial" w:cs="Arial"/>
          <w:sz w:val="24"/>
        </w:rPr>
      </w:pPr>
    </w:p>
    <w:p w14:paraId="2C6504A0" w14:textId="77777777" w:rsidR="004F6517" w:rsidRDefault="004F6517" w:rsidP="00A50E8D">
      <w:pPr>
        <w:spacing w:after="0" w:line="240" w:lineRule="auto"/>
        <w:rPr>
          <w:rFonts w:ascii="Arial" w:hAnsi="Arial" w:cs="Arial"/>
          <w:sz w:val="24"/>
        </w:rPr>
      </w:pPr>
    </w:p>
    <w:p w14:paraId="57E6DA65" w14:textId="77777777" w:rsidR="004F6517" w:rsidRDefault="004F6517" w:rsidP="00A50E8D">
      <w:pPr>
        <w:spacing w:after="0" w:line="240" w:lineRule="auto"/>
        <w:rPr>
          <w:rFonts w:ascii="Arial" w:hAnsi="Arial" w:cs="Arial"/>
          <w:sz w:val="24"/>
        </w:rPr>
      </w:pPr>
    </w:p>
    <w:p w14:paraId="383CA2AB" w14:textId="77777777" w:rsidR="004F6517" w:rsidRDefault="004F6517" w:rsidP="00A50E8D">
      <w:pPr>
        <w:spacing w:after="0" w:line="240" w:lineRule="auto"/>
        <w:rPr>
          <w:rFonts w:ascii="Arial" w:hAnsi="Arial" w:cs="Arial"/>
          <w:sz w:val="24"/>
        </w:rPr>
      </w:pPr>
    </w:p>
    <w:p w14:paraId="77D2707A" w14:textId="77777777" w:rsidR="004F6517" w:rsidRDefault="004F6517" w:rsidP="00A50E8D">
      <w:pPr>
        <w:spacing w:after="0" w:line="240" w:lineRule="auto"/>
        <w:rPr>
          <w:rFonts w:ascii="Arial" w:hAnsi="Arial" w:cs="Arial"/>
          <w:sz w:val="24"/>
        </w:rPr>
      </w:pPr>
    </w:p>
    <w:p w14:paraId="17778820" w14:textId="77777777" w:rsidR="004F6517" w:rsidRDefault="004F6517" w:rsidP="00A50E8D">
      <w:pPr>
        <w:spacing w:after="0" w:line="240" w:lineRule="auto"/>
        <w:rPr>
          <w:rFonts w:ascii="Arial" w:hAnsi="Arial" w:cs="Arial"/>
          <w:sz w:val="24"/>
        </w:rPr>
      </w:pPr>
    </w:p>
    <w:p w14:paraId="317894BA" w14:textId="77777777" w:rsidR="004F6517" w:rsidRDefault="004F6517" w:rsidP="00A50E8D">
      <w:pPr>
        <w:spacing w:after="0" w:line="240" w:lineRule="auto"/>
        <w:rPr>
          <w:rFonts w:ascii="Arial" w:hAnsi="Arial" w:cs="Arial"/>
          <w:sz w:val="24"/>
        </w:rPr>
      </w:pPr>
    </w:p>
    <w:p w14:paraId="492F0647" w14:textId="77777777" w:rsidR="004F6517" w:rsidRDefault="004F6517" w:rsidP="00A50E8D">
      <w:pPr>
        <w:spacing w:after="0" w:line="240" w:lineRule="auto"/>
        <w:rPr>
          <w:rFonts w:ascii="Arial" w:hAnsi="Arial" w:cs="Arial"/>
          <w:sz w:val="24"/>
        </w:rPr>
      </w:pPr>
    </w:p>
    <w:p w14:paraId="18F69C1C" w14:textId="77777777" w:rsidR="004F6517" w:rsidRDefault="004F6517" w:rsidP="00A50E8D">
      <w:pPr>
        <w:spacing w:after="0" w:line="240" w:lineRule="auto"/>
        <w:rPr>
          <w:rFonts w:ascii="Arial" w:hAnsi="Arial" w:cs="Arial"/>
          <w:sz w:val="24"/>
        </w:rPr>
      </w:pPr>
    </w:p>
    <w:p w14:paraId="024F90C1" w14:textId="77777777" w:rsidR="004F6517" w:rsidRDefault="004F6517" w:rsidP="00A50E8D">
      <w:pPr>
        <w:spacing w:after="0" w:line="240" w:lineRule="auto"/>
        <w:rPr>
          <w:rFonts w:ascii="Arial" w:hAnsi="Arial" w:cs="Arial"/>
          <w:sz w:val="24"/>
        </w:rPr>
      </w:pPr>
    </w:p>
    <w:p w14:paraId="25A13A27" w14:textId="77777777" w:rsidR="004F6517" w:rsidRDefault="004F6517" w:rsidP="00A50E8D">
      <w:pPr>
        <w:spacing w:after="0" w:line="240" w:lineRule="auto"/>
        <w:rPr>
          <w:rFonts w:ascii="Arial" w:hAnsi="Arial" w:cs="Arial"/>
          <w:sz w:val="24"/>
        </w:rPr>
      </w:pPr>
    </w:p>
    <w:p w14:paraId="0BB2EBB1" w14:textId="77777777" w:rsidR="004F6517" w:rsidRDefault="004F6517" w:rsidP="00A50E8D">
      <w:pPr>
        <w:spacing w:after="0" w:line="240" w:lineRule="auto"/>
        <w:rPr>
          <w:rFonts w:ascii="Arial" w:hAnsi="Arial" w:cs="Arial"/>
          <w:sz w:val="24"/>
        </w:rPr>
      </w:pPr>
    </w:p>
    <w:p w14:paraId="6A29D5D0" w14:textId="77777777" w:rsidR="004F6517" w:rsidRDefault="004F6517" w:rsidP="00A50E8D">
      <w:pPr>
        <w:spacing w:after="0" w:line="240" w:lineRule="auto"/>
        <w:rPr>
          <w:rFonts w:ascii="Arial" w:hAnsi="Arial" w:cs="Arial"/>
          <w:sz w:val="24"/>
        </w:rPr>
      </w:pPr>
    </w:p>
    <w:p w14:paraId="2CA91B4E" w14:textId="77777777" w:rsidR="004F6517" w:rsidRDefault="004F6517" w:rsidP="00A50E8D">
      <w:pPr>
        <w:spacing w:after="0" w:line="240" w:lineRule="auto"/>
        <w:rPr>
          <w:rFonts w:ascii="Arial" w:hAnsi="Arial" w:cs="Arial"/>
          <w:sz w:val="24"/>
        </w:rPr>
      </w:pPr>
    </w:p>
    <w:p w14:paraId="239CA2A3" w14:textId="77777777" w:rsidR="004F6517" w:rsidRDefault="004F6517" w:rsidP="00A50E8D">
      <w:pPr>
        <w:spacing w:after="0" w:line="240" w:lineRule="auto"/>
        <w:rPr>
          <w:rFonts w:ascii="Arial" w:hAnsi="Arial" w:cs="Arial"/>
          <w:sz w:val="24"/>
        </w:rPr>
      </w:pPr>
    </w:p>
    <w:p w14:paraId="755D42EA" w14:textId="77777777" w:rsidR="004F6517" w:rsidRDefault="004F6517" w:rsidP="00A50E8D">
      <w:pPr>
        <w:spacing w:after="0" w:line="240" w:lineRule="auto"/>
        <w:rPr>
          <w:rFonts w:ascii="Arial" w:hAnsi="Arial" w:cs="Arial"/>
          <w:sz w:val="24"/>
        </w:rPr>
      </w:pPr>
    </w:p>
    <w:p w14:paraId="5969065E" w14:textId="77777777" w:rsidR="004F6517" w:rsidRDefault="004F6517" w:rsidP="00A50E8D">
      <w:pPr>
        <w:spacing w:after="0" w:line="240" w:lineRule="auto"/>
        <w:rPr>
          <w:rFonts w:ascii="Arial" w:hAnsi="Arial" w:cs="Arial"/>
          <w:sz w:val="24"/>
        </w:rPr>
      </w:pPr>
    </w:p>
    <w:p w14:paraId="2AE05E81" w14:textId="77777777" w:rsidR="004F6517" w:rsidRDefault="004F6517" w:rsidP="00A50E8D">
      <w:pPr>
        <w:spacing w:after="0" w:line="240" w:lineRule="auto"/>
        <w:rPr>
          <w:rFonts w:ascii="Arial" w:hAnsi="Arial" w:cs="Arial"/>
          <w:sz w:val="24"/>
        </w:rPr>
      </w:pPr>
    </w:p>
    <w:p w14:paraId="2DE33313" w14:textId="77777777" w:rsidR="004F6517" w:rsidRDefault="004F6517" w:rsidP="00A50E8D">
      <w:pPr>
        <w:spacing w:after="0" w:line="240" w:lineRule="auto"/>
        <w:rPr>
          <w:rFonts w:ascii="Arial" w:hAnsi="Arial" w:cs="Arial"/>
          <w:sz w:val="24"/>
        </w:rPr>
      </w:pPr>
    </w:p>
    <w:p w14:paraId="116AACB4" w14:textId="77777777" w:rsidR="004F6517" w:rsidRDefault="004F6517" w:rsidP="00A50E8D">
      <w:pPr>
        <w:spacing w:after="0" w:line="240" w:lineRule="auto"/>
        <w:rPr>
          <w:rFonts w:ascii="Arial" w:hAnsi="Arial" w:cs="Arial"/>
          <w:sz w:val="24"/>
        </w:rPr>
      </w:pPr>
    </w:p>
    <w:p w14:paraId="1FFED41E" w14:textId="77777777" w:rsidR="004F6517" w:rsidRDefault="004F6517" w:rsidP="00A50E8D">
      <w:pPr>
        <w:spacing w:after="0" w:line="240" w:lineRule="auto"/>
        <w:rPr>
          <w:rFonts w:ascii="Arial" w:hAnsi="Arial" w:cs="Arial"/>
          <w:sz w:val="24"/>
        </w:rPr>
      </w:pPr>
    </w:p>
    <w:p w14:paraId="6F2786F6" w14:textId="77777777" w:rsidR="004F6517" w:rsidRDefault="004F6517" w:rsidP="00A50E8D">
      <w:pPr>
        <w:spacing w:after="0" w:line="240" w:lineRule="auto"/>
        <w:rPr>
          <w:rFonts w:ascii="Arial" w:hAnsi="Arial" w:cs="Arial"/>
          <w:sz w:val="24"/>
        </w:rPr>
      </w:pPr>
    </w:p>
    <w:p w14:paraId="7EB6CE62" w14:textId="6FE174E6" w:rsidR="007663C7" w:rsidRDefault="004F6517" w:rsidP="00770BEF">
      <w:pPr>
        <w:spacing w:after="0" w:line="240" w:lineRule="auto"/>
        <w:rPr>
          <w:rFonts w:ascii="Arial" w:hAnsi="Arial" w:cs="Arial"/>
          <w:b/>
          <w:bCs/>
          <w:sz w:val="24"/>
        </w:rPr>
      </w:pPr>
      <w:r>
        <w:rPr>
          <w:rFonts w:ascii="Arial" w:hAnsi="Arial" w:cs="Arial"/>
          <w:sz w:val="24"/>
        </w:rPr>
        <w:t xml:space="preserve">Attachment 3. </w:t>
      </w:r>
      <w:r w:rsidR="007663C7" w:rsidRPr="00770BEF">
        <w:rPr>
          <w:rFonts w:ascii="Arial" w:hAnsi="Arial" w:cs="Arial"/>
          <w:sz w:val="24"/>
        </w:rPr>
        <w:t>What it costs to live in Canberra for a fortnight with a disability</w:t>
      </w:r>
    </w:p>
    <w:p w14:paraId="5A9DF71F" w14:textId="77777777" w:rsidR="00770BEF" w:rsidRPr="00770BEF" w:rsidRDefault="00770BEF" w:rsidP="00770BEF">
      <w:pPr>
        <w:spacing w:after="0" w:line="240" w:lineRule="auto"/>
        <w:rPr>
          <w:rFonts w:ascii="Arial" w:hAnsi="Arial" w:cs="Arial"/>
          <w:sz w:val="24"/>
        </w:rPr>
      </w:pPr>
    </w:p>
    <w:p w14:paraId="46187C83" w14:textId="77777777" w:rsidR="007663C7" w:rsidRDefault="007663C7" w:rsidP="007663C7">
      <w:pPr>
        <w:spacing w:line="240" w:lineRule="auto"/>
        <w:rPr>
          <w:rFonts w:ascii="Arial" w:hAnsi="Arial" w:cs="Arial"/>
          <w:i/>
          <w:iCs/>
          <w:sz w:val="24"/>
        </w:rPr>
      </w:pPr>
      <w:r w:rsidRPr="00121111">
        <w:rPr>
          <w:rFonts w:ascii="Arial" w:hAnsi="Arial" w:cs="Arial"/>
          <w:i/>
          <w:iCs/>
          <w:sz w:val="24"/>
        </w:rPr>
        <w:t>AFI have prepared an estimated model household Budget for a fortnight in Canberra (assumes person in rented accommodation, single, unable to drive with additional cost of disability needs for food prep, transport, heating)</w:t>
      </w:r>
    </w:p>
    <w:p w14:paraId="346D919F" w14:textId="77777777" w:rsidR="007663C7" w:rsidRPr="00121111" w:rsidRDefault="007663C7" w:rsidP="007663C7">
      <w:pPr>
        <w:spacing w:line="240" w:lineRule="auto"/>
        <w:rPr>
          <w:rFonts w:ascii="Arial" w:hAnsi="Arial" w:cs="Arial"/>
          <w:i/>
          <w:iCs/>
          <w:sz w:val="24"/>
        </w:rPr>
      </w:pPr>
    </w:p>
    <w:tbl>
      <w:tblPr>
        <w:tblStyle w:val="TableGrid"/>
        <w:tblW w:w="0" w:type="auto"/>
        <w:tblInd w:w="0" w:type="dxa"/>
        <w:tblLook w:val="04A0" w:firstRow="1" w:lastRow="0" w:firstColumn="1" w:lastColumn="0" w:noHBand="0" w:noVBand="1"/>
      </w:tblPr>
      <w:tblGrid>
        <w:gridCol w:w="7083"/>
        <w:gridCol w:w="1933"/>
      </w:tblGrid>
      <w:tr w:rsidR="007663C7" w14:paraId="76536C52" w14:textId="77777777" w:rsidTr="00F1711B">
        <w:tc>
          <w:tcPr>
            <w:tcW w:w="7083" w:type="dxa"/>
          </w:tcPr>
          <w:p w14:paraId="6A78470B" w14:textId="77777777" w:rsidR="007663C7" w:rsidRPr="00351C3E" w:rsidRDefault="007663C7" w:rsidP="00F1711B">
            <w:pPr>
              <w:rPr>
                <w:rFonts w:ascii="Arial" w:hAnsi="Arial" w:cs="Arial"/>
                <w:b/>
                <w:bCs/>
                <w:color w:val="000000"/>
              </w:rPr>
            </w:pPr>
            <w:r w:rsidRPr="00351C3E">
              <w:rPr>
                <w:rFonts w:ascii="Arial" w:hAnsi="Arial" w:cs="Arial"/>
                <w:b/>
                <w:bCs/>
                <w:color w:val="000000"/>
              </w:rPr>
              <w:t xml:space="preserve">Expenses </w:t>
            </w:r>
          </w:p>
        </w:tc>
        <w:tc>
          <w:tcPr>
            <w:tcW w:w="1933" w:type="dxa"/>
          </w:tcPr>
          <w:p w14:paraId="234A5960" w14:textId="77777777" w:rsidR="007663C7" w:rsidRPr="00351C3E" w:rsidRDefault="007663C7" w:rsidP="00F1711B">
            <w:pPr>
              <w:rPr>
                <w:rFonts w:ascii="Arial" w:hAnsi="Arial" w:cs="Arial"/>
                <w:b/>
                <w:bCs/>
                <w:color w:val="000000"/>
              </w:rPr>
            </w:pPr>
            <w:r w:rsidRPr="00351C3E">
              <w:rPr>
                <w:rFonts w:ascii="Arial" w:hAnsi="Arial" w:cs="Arial"/>
                <w:b/>
                <w:bCs/>
                <w:color w:val="000000"/>
              </w:rPr>
              <w:t>Amount</w:t>
            </w:r>
            <w:r>
              <w:rPr>
                <w:rFonts w:ascii="Arial" w:hAnsi="Arial" w:cs="Arial"/>
                <w:b/>
                <w:bCs/>
                <w:color w:val="000000"/>
              </w:rPr>
              <w:t xml:space="preserve"> ($)</w:t>
            </w:r>
          </w:p>
        </w:tc>
      </w:tr>
      <w:tr w:rsidR="007663C7" w14:paraId="2FBD96F1" w14:textId="77777777" w:rsidTr="00F1711B">
        <w:tc>
          <w:tcPr>
            <w:tcW w:w="7083" w:type="dxa"/>
          </w:tcPr>
          <w:p w14:paraId="796F8BAF" w14:textId="77777777" w:rsidR="007663C7" w:rsidRDefault="007663C7" w:rsidP="00F1711B">
            <w:pPr>
              <w:rPr>
                <w:rFonts w:ascii="Arial" w:hAnsi="Arial" w:cs="Arial"/>
                <w:color w:val="000000"/>
              </w:rPr>
            </w:pPr>
            <w:r>
              <w:rPr>
                <w:rFonts w:ascii="Arial" w:hAnsi="Arial" w:cs="Arial"/>
                <w:color w:val="000000"/>
              </w:rPr>
              <w:t>Rent</w:t>
            </w:r>
          </w:p>
        </w:tc>
        <w:tc>
          <w:tcPr>
            <w:tcW w:w="1933" w:type="dxa"/>
          </w:tcPr>
          <w:p w14:paraId="474EA931" w14:textId="77777777" w:rsidR="007663C7" w:rsidRDefault="007663C7" w:rsidP="00F1711B">
            <w:pPr>
              <w:rPr>
                <w:rFonts w:ascii="Arial" w:hAnsi="Arial" w:cs="Arial"/>
                <w:color w:val="000000"/>
              </w:rPr>
            </w:pPr>
            <w:r>
              <w:rPr>
                <w:rFonts w:ascii="Arial" w:hAnsi="Arial" w:cs="Arial"/>
                <w:color w:val="000000"/>
              </w:rPr>
              <w:t>1300</w:t>
            </w:r>
          </w:p>
        </w:tc>
      </w:tr>
      <w:tr w:rsidR="007663C7" w14:paraId="48EE8D9D" w14:textId="77777777" w:rsidTr="00F1711B">
        <w:tc>
          <w:tcPr>
            <w:tcW w:w="7083" w:type="dxa"/>
          </w:tcPr>
          <w:p w14:paraId="175462BC" w14:textId="77777777" w:rsidR="007663C7" w:rsidRDefault="007663C7" w:rsidP="00F1711B">
            <w:pPr>
              <w:rPr>
                <w:rFonts w:ascii="Arial" w:hAnsi="Arial" w:cs="Arial"/>
                <w:color w:val="000000"/>
              </w:rPr>
            </w:pPr>
            <w:r>
              <w:rPr>
                <w:rFonts w:ascii="Arial" w:hAnsi="Arial" w:cs="Arial"/>
                <w:color w:val="000000"/>
              </w:rPr>
              <w:t xml:space="preserve">Basic utilities (electricity, gas, water) </w:t>
            </w:r>
          </w:p>
        </w:tc>
        <w:tc>
          <w:tcPr>
            <w:tcW w:w="1933" w:type="dxa"/>
          </w:tcPr>
          <w:p w14:paraId="1B5C8F34" w14:textId="77777777" w:rsidR="007663C7" w:rsidRDefault="007663C7" w:rsidP="00F1711B">
            <w:pPr>
              <w:rPr>
                <w:rFonts w:ascii="Arial" w:hAnsi="Arial" w:cs="Arial"/>
                <w:color w:val="000000"/>
              </w:rPr>
            </w:pPr>
            <w:r>
              <w:rPr>
                <w:rFonts w:ascii="Arial" w:hAnsi="Arial" w:cs="Arial"/>
                <w:color w:val="000000"/>
              </w:rPr>
              <w:t>97.38</w:t>
            </w:r>
          </w:p>
        </w:tc>
      </w:tr>
      <w:tr w:rsidR="007663C7" w14:paraId="3F42FEE2" w14:textId="77777777" w:rsidTr="00F1711B">
        <w:tc>
          <w:tcPr>
            <w:tcW w:w="7083" w:type="dxa"/>
          </w:tcPr>
          <w:p w14:paraId="02BBA412" w14:textId="77777777" w:rsidR="007663C7" w:rsidRDefault="007663C7" w:rsidP="00F1711B">
            <w:pPr>
              <w:rPr>
                <w:rFonts w:ascii="Arial" w:hAnsi="Arial" w:cs="Arial"/>
                <w:color w:val="000000"/>
              </w:rPr>
            </w:pPr>
            <w:r>
              <w:rPr>
                <w:rFonts w:ascii="Arial" w:hAnsi="Arial" w:cs="Arial"/>
                <w:color w:val="000000"/>
              </w:rPr>
              <w:t>Mobile phone and home internet</w:t>
            </w:r>
          </w:p>
        </w:tc>
        <w:tc>
          <w:tcPr>
            <w:tcW w:w="1933" w:type="dxa"/>
          </w:tcPr>
          <w:p w14:paraId="7391E675" w14:textId="77777777" w:rsidR="007663C7" w:rsidRDefault="007663C7" w:rsidP="00F1711B">
            <w:pPr>
              <w:rPr>
                <w:rFonts w:ascii="Arial" w:hAnsi="Arial" w:cs="Arial"/>
                <w:color w:val="000000"/>
              </w:rPr>
            </w:pPr>
            <w:r>
              <w:rPr>
                <w:rFonts w:ascii="Arial" w:hAnsi="Arial" w:cs="Arial"/>
                <w:color w:val="000000"/>
              </w:rPr>
              <w:t>13.85 + 34.62</w:t>
            </w:r>
          </w:p>
        </w:tc>
      </w:tr>
      <w:tr w:rsidR="007663C7" w14:paraId="550E7117" w14:textId="77777777" w:rsidTr="00F1711B">
        <w:tc>
          <w:tcPr>
            <w:tcW w:w="7083" w:type="dxa"/>
          </w:tcPr>
          <w:p w14:paraId="0838EF8F" w14:textId="77777777" w:rsidR="007663C7" w:rsidRDefault="007663C7" w:rsidP="00F1711B">
            <w:pPr>
              <w:rPr>
                <w:rFonts w:ascii="Arial" w:hAnsi="Arial" w:cs="Arial"/>
                <w:color w:val="000000"/>
              </w:rPr>
            </w:pPr>
            <w:r>
              <w:rPr>
                <w:rFonts w:ascii="Arial" w:hAnsi="Arial" w:cs="Arial"/>
                <w:color w:val="000000"/>
              </w:rPr>
              <w:t xml:space="preserve">Taxi’s </w:t>
            </w:r>
          </w:p>
        </w:tc>
        <w:tc>
          <w:tcPr>
            <w:tcW w:w="1933" w:type="dxa"/>
          </w:tcPr>
          <w:p w14:paraId="0B4AF10F" w14:textId="77777777" w:rsidR="007663C7" w:rsidRDefault="007663C7" w:rsidP="00F1711B">
            <w:pPr>
              <w:rPr>
                <w:rFonts w:ascii="Arial" w:hAnsi="Arial" w:cs="Arial"/>
                <w:color w:val="000000"/>
              </w:rPr>
            </w:pPr>
            <w:r>
              <w:rPr>
                <w:rFonts w:ascii="Arial" w:hAnsi="Arial" w:cs="Arial"/>
                <w:color w:val="000000"/>
              </w:rPr>
              <w:t>246.00</w:t>
            </w:r>
          </w:p>
        </w:tc>
      </w:tr>
      <w:tr w:rsidR="007663C7" w14:paraId="52B7DB15" w14:textId="77777777" w:rsidTr="00F1711B">
        <w:tc>
          <w:tcPr>
            <w:tcW w:w="7083" w:type="dxa"/>
          </w:tcPr>
          <w:p w14:paraId="26155261" w14:textId="77777777" w:rsidR="007663C7" w:rsidRDefault="007663C7" w:rsidP="00F1711B">
            <w:pPr>
              <w:rPr>
                <w:rFonts w:ascii="Arial" w:hAnsi="Arial" w:cs="Arial"/>
                <w:color w:val="000000"/>
              </w:rPr>
            </w:pPr>
            <w:r>
              <w:rPr>
                <w:rFonts w:ascii="Arial" w:hAnsi="Arial" w:cs="Arial"/>
                <w:color w:val="000000"/>
              </w:rPr>
              <w:t>Groceries + cost of disability loading</w:t>
            </w:r>
          </w:p>
        </w:tc>
        <w:tc>
          <w:tcPr>
            <w:tcW w:w="1933" w:type="dxa"/>
          </w:tcPr>
          <w:p w14:paraId="1B06109B" w14:textId="77777777" w:rsidR="007663C7" w:rsidRDefault="007663C7" w:rsidP="00F1711B">
            <w:pPr>
              <w:rPr>
                <w:rFonts w:ascii="Arial" w:hAnsi="Arial" w:cs="Arial"/>
                <w:color w:val="000000"/>
              </w:rPr>
            </w:pPr>
            <w:r>
              <w:rPr>
                <w:rFonts w:ascii="Arial" w:hAnsi="Arial" w:cs="Arial"/>
                <w:color w:val="000000"/>
              </w:rPr>
              <w:t>246.00 + 8.61</w:t>
            </w:r>
          </w:p>
        </w:tc>
      </w:tr>
      <w:tr w:rsidR="007663C7" w14:paraId="624277CE" w14:textId="77777777" w:rsidTr="00F1711B">
        <w:tc>
          <w:tcPr>
            <w:tcW w:w="7083" w:type="dxa"/>
          </w:tcPr>
          <w:p w14:paraId="725C871F" w14:textId="77777777" w:rsidR="007663C7" w:rsidRDefault="007663C7" w:rsidP="00F1711B">
            <w:pPr>
              <w:rPr>
                <w:rFonts w:ascii="Arial" w:hAnsi="Arial" w:cs="Arial"/>
                <w:color w:val="000000"/>
              </w:rPr>
            </w:pPr>
            <w:r>
              <w:rPr>
                <w:rFonts w:ascii="Arial" w:hAnsi="Arial" w:cs="Arial"/>
                <w:color w:val="000000"/>
              </w:rPr>
              <w:t>Personal care and pharma + cost of disability loading</w:t>
            </w:r>
          </w:p>
        </w:tc>
        <w:tc>
          <w:tcPr>
            <w:tcW w:w="1933" w:type="dxa"/>
          </w:tcPr>
          <w:p w14:paraId="62B8AFF0" w14:textId="77777777" w:rsidR="007663C7" w:rsidRDefault="007663C7" w:rsidP="00F1711B">
            <w:pPr>
              <w:rPr>
                <w:rFonts w:ascii="Arial" w:hAnsi="Arial" w:cs="Arial"/>
                <w:color w:val="000000"/>
              </w:rPr>
            </w:pPr>
            <w:r>
              <w:rPr>
                <w:rFonts w:ascii="Arial" w:hAnsi="Arial" w:cs="Arial"/>
                <w:color w:val="000000"/>
              </w:rPr>
              <w:t>54.25 + 1.90</w:t>
            </w:r>
          </w:p>
        </w:tc>
      </w:tr>
      <w:tr w:rsidR="007663C7" w14:paraId="4C165D44" w14:textId="77777777" w:rsidTr="00F1711B">
        <w:tc>
          <w:tcPr>
            <w:tcW w:w="7083" w:type="dxa"/>
          </w:tcPr>
          <w:p w14:paraId="2AFB1013" w14:textId="77777777" w:rsidR="007663C7" w:rsidRPr="00F07213" w:rsidRDefault="007663C7" w:rsidP="00F1711B">
            <w:pPr>
              <w:rPr>
                <w:rFonts w:ascii="Arial" w:hAnsi="Arial" w:cs="Arial"/>
                <w:i/>
                <w:iCs/>
                <w:color w:val="000000"/>
              </w:rPr>
            </w:pPr>
            <w:r w:rsidRPr="00F07213">
              <w:rPr>
                <w:rFonts w:ascii="Arial" w:hAnsi="Arial" w:cs="Arial"/>
                <w:i/>
                <w:iCs/>
                <w:color w:val="000000"/>
              </w:rPr>
              <w:t>Healthcare/pharma/dental/unanticipated event</w:t>
            </w:r>
          </w:p>
        </w:tc>
        <w:tc>
          <w:tcPr>
            <w:tcW w:w="1933" w:type="dxa"/>
          </w:tcPr>
          <w:p w14:paraId="7CA47480" w14:textId="77777777" w:rsidR="007663C7" w:rsidRPr="00F07213" w:rsidRDefault="007663C7" w:rsidP="00F1711B">
            <w:pPr>
              <w:rPr>
                <w:rFonts w:ascii="Arial" w:hAnsi="Arial" w:cs="Arial"/>
                <w:i/>
                <w:iCs/>
                <w:color w:val="000000"/>
              </w:rPr>
            </w:pPr>
            <w:r w:rsidRPr="00F07213">
              <w:rPr>
                <w:rFonts w:ascii="Arial" w:hAnsi="Arial" w:cs="Arial"/>
                <w:i/>
                <w:iCs/>
                <w:color w:val="000000"/>
              </w:rPr>
              <w:t>240.00</w:t>
            </w:r>
          </w:p>
        </w:tc>
      </w:tr>
      <w:tr w:rsidR="007663C7" w14:paraId="2E9DA5B5" w14:textId="77777777" w:rsidTr="00F1711B">
        <w:tc>
          <w:tcPr>
            <w:tcW w:w="7083" w:type="dxa"/>
          </w:tcPr>
          <w:p w14:paraId="1104E2D5" w14:textId="77777777" w:rsidR="007663C7" w:rsidRPr="00E01094" w:rsidRDefault="007663C7" w:rsidP="00F1711B">
            <w:pPr>
              <w:rPr>
                <w:rFonts w:ascii="Arial" w:hAnsi="Arial" w:cs="Arial"/>
                <w:color w:val="FF0000"/>
              </w:rPr>
            </w:pPr>
            <w:r w:rsidRPr="00E01094">
              <w:rPr>
                <w:rFonts w:ascii="Arial" w:hAnsi="Arial" w:cs="Arial"/>
                <w:color w:val="FF0000"/>
              </w:rPr>
              <w:t>Total Due</w:t>
            </w:r>
            <w:r>
              <w:rPr>
                <w:rFonts w:ascii="Arial" w:hAnsi="Arial" w:cs="Arial"/>
                <w:color w:val="FF0000"/>
              </w:rPr>
              <w:t xml:space="preserve"> (not incl. unanticipated event)</w:t>
            </w:r>
          </w:p>
        </w:tc>
        <w:tc>
          <w:tcPr>
            <w:tcW w:w="1933" w:type="dxa"/>
          </w:tcPr>
          <w:p w14:paraId="037EB2CA" w14:textId="77777777" w:rsidR="007663C7" w:rsidRPr="00E01094" w:rsidRDefault="007663C7" w:rsidP="00F1711B">
            <w:pPr>
              <w:rPr>
                <w:rFonts w:ascii="Arial" w:hAnsi="Arial" w:cs="Arial"/>
                <w:color w:val="FF0000"/>
              </w:rPr>
            </w:pPr>
            <w:r>
              <w:rPr>
                <w:rFonts w:ascii="Arial" w:hAnsi="Arial" w:cs="Arial"/>
                <w:color w:val="FF0000"/>
              </w:rPr>
              <w:t>2002.61</w:t>
            </w:r>
          </w:p>
        </w:tc>
      </w:tr>
      <w:tr w:rsidR="007663C7" w14:paraId="6F2531AD" w14:textId="77777777" w:rsidTr="00F1711B">
        <w:tc>
          <w:tcPr>
            <w:tcW w:w="7083" w:type="dxa"/>
          </w:tcPr>
          <w:p w14:paraId="70EADEAD" w14:textId="77777777" w:rsidR="007663C7" w:rsidRPr="00E01094" w:rsidRDefault="007663C7" w:rsidP="00F1711B">
            <w:pPr>
              <w:rPr>
                <w:rFonts w:ascii="Arial" w:hAnsi="Arial" w:cs="Arial"/>
                <w:color w:val="FF0000"/>
              </w:rPr>
            </w:pPr>
            <w:r w:rsidRPr="00E01094">
              <w:rPr>
                <w:rFonts w:ascii="Arial" w:hAnsi="Arial" w:cs="Arial"/>
                <w:color w:val="FF0000"/>
              </w:rPr>
              <w:t xml:space="preserve">Total Income </w:t>
            </w:r>
            <w:r>
              <w:rPr>
                <w:rFonts w:ascii="Arial" w:hAnsi="Arial" w:cs="Arial"/>
                <w:color w:val="FF0000"/>
              </w:rPr>
              <w:t>(DSP + CRA + Supplements)</w:t>
            </w:r>
          </w:p>
        </w:tc>
        <w:tc>
          <w:tcPr>
            <w:tcW w:w="1933" w:type="dxa"/>
          </w:tcPr>
          <w:p w14:paraId="7D6D8F73" w14:textId="77777777" w:rsidR="007663C7" w:rsidRPr="00E01094" w:rsidRDefault="007663C7" w:rsidP="00F1711B">
            <w:pPr>
              <w:rPr>
                <w:rFonts w:ascii="Arial" w:hAnsi="Arial" w:cs="Arial"/>
                <w:color w:val="FF0000"/>
              </w:rPr>
            </w:pPr>
            <w:r>
              <w:rPr>
                <w:rFonts w:ascii="Arial" w:hAnsi="Arial" w:cs="Arial"/>
                <w:color w:val="FF0000"/>
              </w:rPr>
              <w:t>1178.1</w:t>
            </w:r>
          </w:p>
        </w:tc>
      </w:tr>
      <w:tr w:rsidR="007663C7" w14:paraId="7080CF90" w14:textId="77777777" w:rsidTr="00F1711B">
        <w:tc>
          <w:tcPr>
            <w:tcW w:w="7083" w:type="dxa"/>
          </w:tcPr>
          <w:p w14:paraId="00EFA047" w14:textId="77777777" w:rsidR="007663C7" w:rsidRPr="00E01094" w:rsidRDefault="007663C7" w:rsidP="00F1711B">
            <w:pPr>
              <w:rPr>
                <w:rFonts w:ascii="Arial" w:hAnsi="Arial" w:cs="Arial"/>
                <w:color w:val="FF0000"/>
              </w:rPr>
            </w:pPr>
            <w:r w:rsidRPr="00E01094">
              <w:rPr>
                <w:rFonts w:ascii="Arial" w:hAnsi="Arial" w:cs="Arial"/>
                <w:color w:val="FF0000"/>
              </w:rPr>
              <w:t xml:space="preserve">Total Left Over </w:t>
            </w:r>
          </w:p>
        </w:tc>
        <w:tc>
          <w:tcPr>
            <w:tcW w:w="1933" w:type="dxa"/>
          </w:tcPr>
          <w:p w14:paraId="03E482F6" w14:textId="77777777" w:rsidR="007663C7" w:rsidRPr="00942347" w:rsidRDefault="007663C7" w:rsidP="00F1711B">
            <w:pPr>
              <w:rPr>
                <w:rFonts w:ascii="Arial" w:hAnsi="Arial" w:cs="Arial"/>
                <w:color w:val="FF0000"/>
              </w:rPr>
            </w:pPr>
            <w:r>
              <w:rPr>
                <w:rFonts w:ascii="Arial" w:hAnsi="Arial" w:cs="Arial"/>
                <w:color w:val="FF0000"/>
              </w:rPr>
              <w:t>-$824.51</w:t>
            </w:r>
          </w:p>
        </w:tc>
      </w:tr>
      <w:tr w:rsidR="007663C7" w14:paraId="1D96705E" w14:textId="77777777" w:rsidTr="00F1711B">
        <w:tc>
          <w:tcPr>
            <w:tcW w:w="9016" w:type="dxa"/>
            <w:gridSpan w:val="2"/>
          </w:tcPr>
          <w:p w14:paraId="18A7B57E" w14:textId="77777777" w:rsidR="007663C7" w:rsidRPr="00BC72A4" w:rsidRDefault="007663C7" w:rsidP="00F1711B">
            <w:pPr>
              <w:rPr>
                <w:rFonts w:ascii="Arial" w:hAnsi="Arial" w:cs="Arial"/>
                <w:i/>
                <w:iCs/>
                <w:color w:val="000000"/>
                <w:sz w:val="16"/>
                <w:szCs w:val="16"/>
              </w:rPr>
            </w:pPr>
            <w:r w:rsidRPr="00BC72A4">
              <w:rPr>
                <w:rFonts w:ascii="Arial" w:hAnsi="Arial" w:cs="Arial"/>
                <w:i/>
                <w:iCs/>
                <w:color w:val="000000"/>
                <w:sz w:val="16"/>
                <w:szCs w:val="16"/>
              </w:rPr>
              <w:t xml:space="preserve">Commentary on sources and some assumptions </w:t>
            </w:r>
          </w:p>
          <w:p w14:paraId="74EA65D5" w14:textId="77777777" w:rsidR="007663C7" w:rsidRPr="00BC14C3" w:rsidRDefault="007663C7" w:rsidP="00F1711B">
            <w:pPr>
              <w:rPr>
                <w:rFonts w:ascii="Arial" w:hAnsi="Arial" w:cs="Arial"/>
                <w:color w:val="000000"/>
                <w:sz w:val="16"/>
                <w:szCs w:val="16"/>
              </w:rPr>
            </w:pPr>
            <w:r w:rsidRPr="00F412DD">
              <w:rPr>
                <w:rFonts w:ascii="Arial" w:hAnsi="Arial" w:cs="Arial"/>
                <w:color w:val="000000"/>
                <w:sz w:val="16"/>
                <w:szCs w:val="16"/>
                <w:u w:val="single"/>
              </w:rPr>
              <w:t>Rent:</w:t>
            </w:r>
            <w:r>
              <w:rPr>
                <w:rFonts w:ascii="Arial" w:hAnsi="Arial" w:cs="Arial"/>
                <w:color w:val="000000"/>
                <w:sz w:val="16"/>
                <w:szCs w:val="16"/>
              </w:rPr>
              <w:t xml:space="preserve"> $650 per week corresponds to </w:t>
            </w:r>
            <w:hyperlink r:id="rId13" w:history="1">
              <w:r w:rsidRPr="00896611">
                <w:rPr>
                  <w:rStyle w:val="Hyperlink"/>
                  <w:rFonts w:ascii="Arial" w:hAnsi="Arial" w:cs="Arial"/>
                  <w:sz w:val="16"/>
                  <w:szCs w:val="16"/>
                  <w:lang w:val="en-AU"/>
                </w:rPr>
                <w:t>S</w:t>
              </w:r>
              <w:r w:rsidRPr="00896611">
                <w:rPr>
                  <w:rStyle w:val="Hyperlink"/>
                  <w:rFonts w:ascii="Arial" w:hAnsi="Arial" w:cs="Arial"/>
                  <w:sz w:val="16"/>
                  <w:szCs w:val="16"/>
                </w:rPr>
                <w:t>QM Research Weekly Rents Index</w:t>
              </w:r>
            </w:hyperlink>
            <w:r>
              <w:rPr>
                <w:rFonts w:ascii="Arial" w:hAnsi="Arial" w:cs="Arial"/>
                <w:color w:val="000000"/>
                <w:sz w:val="16"/>
                <w:szCs w:val="16"/>
              </w:rPr>
              <w:t xml:space="preserve"> which represents the combined median weekly rent for all houses and all units in Canberra for the week 28 September 2022</w:t>
            </w:r>
          </w:p>
          <w:p w14:paraId="5F518C05" w14:textId="77777777" w:rsidR="007663C7" w:rsidRPr="00BC14C3" w:rsidRDefault="007663C7" w:rsidP="00F1711B">
            <w:pPr>
              <w:rPr>
                <w:rFonts w:ascii="Arial" w:hAnsi="Arial" w:cs="Arial"/>
                <w:color w:val="000000"/>
                <w:sz w:val="16"/>
                <w:szCs w:val="16"/>
              </w:rPr>
            </w:pPr>
            <w:r w:rsidRPr="00F412DD">
              <w:rPr>
                <w:rFonts w:ascii="Arial" w:hAnsi="Arial" w:cs="Arial"/>
                <w:color w:val="000000"/>
                <w:sz w:val="16"/>
                <w:szCs w:val="16"/>
                <w:u w:val="single"/>
              </w:rPr>
              <w:t>Basic utilities:</w:t>
            </w:r>
            <w:r>
              <w:rPr>
                <w:rFonts w:ascii="Arial" w:hAnsi="Arial" w:cs="Arial"/>
                <w:color w:val="000000"/>
                <w:sz w:val="16"/>
                <w:szCs w:val="16"/>
              </w:rPr>
              <w:t xml:space="preserve"> figure taken from Canberra.com.au – the </w:t>
            </w:r>
            <w:hyperlink r:id="rId14" w:anchor=":~:text=Utilities,as%20galleries%2C%20libraries%20and%20cafes." w:history="1">
              <w:r w:rsidRPr="0070080A">
                <w:rPr>
                  <w:rStyle w:val="Hyperlink"/>
                  <w:rFonts w:ascii="Arial" w:hAnsi="Arial" w:cs="Arial"/>
                  <w:sz w:val="16"/>
                  <w:szCs w:val="16"/>
                  <w:lang w:val="en-AU"/>
                </w:rPr>
                <w:t xml:space="preserve">available </w:t>
              </w:r>
              <w:r w:rsidRPr="0070080A">
                <w:rPr>
                  <w:rStyle w:val="Hyperlink"/>
                  <w:rFonts w:ascii="Arial" w:hAnsi="Arial" w:cs="Arial"/>
                  <w:sz w:val="16"/>
                  <w:szCs w:val="16"/>
                </w:rPr>
                <w:t>cost of living material</w:t>
              </w:r>
            </w:hyperlink>
            <w:r>
              <w:rPr>
                <w:rFonts w:ascii="Arial" w:hAnsi="Arial" w:cs="Arial"/>
                <w:color w:val="000000"/>
                <w:sz w:val="16"/>
                <w:szCs w:val="16"/>
              </w:rPr>
              <w:t xml:space="preserve"> is distributed by the Australian Capital Territory Government as a general reference source. The figures also correspond with prices in Finder’s Consumer Sentiment Tracker.     </w:t>
            </w:r>
          </w:p>
          <w:p w14:paraId="56758E88" w14:textId="77777777" w:rsidR="007663C7" w:rsidRPr="00BC14C3" w:rsidRDefault="007663C7" w:rsidP="00F1711B">
            <w:pPr>
              <w:rPr>
                <w:rFonts w:ascii="Arial" w:hAnsi="Arial" w:cs="Arial"/>
                <w:color w:val="000000"/>
                <w:sz w:val="16"/>
                <w:szCs w:val="16"/>
              </w:rPr>
            </w:pPr>
            <w:r w:rsidRPr="00F412DD">
              <w:rPr>
                <w:rFonts w:ascii="Arial" w:hAnsi="Arial" w:cs="Arial"/>
                <w:color w:val="000000"/>
                <w:sz w:val="16"/>
                <w:szCs w:val="16"/>
                <w:u w:val="single"/>
              </w:rPr>
              <w:t>Phone and internet:</w:t>
            </w:r>
            <w:r>
              <w:rPr>
                <w:rFonts w:ascii="Arial" w:hAnsi="Arial" w:cs="Arial"/>
                <w:color w:val="000000"/>
                <w:sz w:val="16"/>
                <w:szCs w:val="16"/>
              </w:rPr>
              <w:t xml:space="preserve"> the </w:t>
            </w:r>
            <w:hyperlink r:id="rId15" w:history="1">
              <w:r w:rsidRPr="00FE2968">
                <w:rPr>
                  <w:rStyle w:val="Hyperlink"/>
                  <w:rFonts w:ascii="Arial" w:hAnsi="Arial" w:cs="Arial"/>
                  <w:sz w:val="16"/>
                  <w:szCs w:val="16"/>
                  <w:lang w:val="en-AU"/>
                </w:rPr>
                <w:t>average phone bill estimate</w:t>
              </w:r>
            </w:hyperlink>
            <w:r>
              <w:rPr>
                <w:rFonts w:ascii="Arial" w:hAnsi="Arial" w:cs="Arial"/>
                <w:color w:val="000000"/>
                <w:sz w:val="16"/>
                <w:szCs w:val="16"/>
              </w:rPr>
              <w:t xml:space="preserve"> represents a mid-point of $30 p/m ($28 for prepaid and $33 for post-paid) (Canstar Blue, 2022). Finder (2022) states </w:t>
            </w:r>
            <w:hyperlink r:id="rId16" w:history="1">
              <w:r w:rsidRPr="00D30ECB">
                <w:rPr>
                  <w:rStyle w:val="Hyperlink"/>
                  <w:rFonts w:ascii="Arial" w:hAnsi="Arial" w:cs="Arial"/>
                  <w:sz w:val="16"/>
                  <w:szCs w:val="16"/>
                  <w:lang w:val="en-AU"/>
                </w:rPr>
                <w:t>t</w:t>
              </w:r>
              <w:r w:rsidRPr="00D30ECB">
                <w:rPr>
                  <w:rStyle w:val="Hyperlink"/>
                  <w:rFonts w:ascii="Arial" w:hAnsi="Arial" w:cs="Arial"/>
                  <w:sz w:val="16"/>
                  <w:szCs w:val="16"/>
                </w:rPr>
                <w:t>he average broad band user</w:t>
              </w:r>
            </w:hyperlink>
            <w:r>
              <w:rPr>
                <w:rFonts w:ascii="Arial" w:hAnsi="Arial" w:cs="Arial"/>
                <w:color w:val="000000"/>
                <w:sz w:val="16"/>
                <w:szCs w:val="16"/>
              </w:rPr>
              <w:t xml:space="preserve"> spends $75 p/m on their internet plan </w:t>
            </w:r>
          </w:p>
          <w:p w14:paraId="76E9D4C4" w14:textId="77777777" w:rsidR="007663C7" w:rsidRPr="00BC14C3" w:rsidRDefault="007663C7" w:rsidP="00F1711B">
            <w:pPr>
              <w:rPr>
                <w:rFonts w:ascii="Arial" w:hAnsi="Arial" w:cs="Arial"/>
                <w:color w:val="000000"/>
                <w:sz w:val="16"/>
                <w:szCs w:val="16"/>
              </w:rPr>
            </w:pPr>
            <w:r w:rsidRPr="00F412DD">
              <w:rPr>
                <w:rFonts w:ascii="Arial" w:hAnsi="Arial" w:cs="Arial"/>
                <w:color w:val="000000"/>
                <w:sz w:val="16"/>
                <w:szCs w:val="16"/>
                <w:u w:val="single"/>
              </w:rPr>
              <w:t>Taxi’s</w:t>
            </w:r>
            <w:r>
              <w:rPr>
                <w:rFonts w:ascii="Arial" w:hAnsi="Arial" w:cs="Arial"/>
                <w:color w:val="000000"/>
                <w:sz w:val="16"/>
                <w:szCs w:val="16"/>
              </w:rPr>
              <w:t xml:space="preserve">: 13% of DSP recipients live in postcode 2615. The estimated fare from this postcode to Canberra Hospital is $70 one way, to the closest supermarket is $15 one way, and to the city centre $55 one way. Assuming 2 x return supermarket trips, 1 x return hospital and 2 x return city centre trips per fortnight (and taking </w:t>
            </w:r>
            <w:hyperlink r:id="rId17" w:history="1">
              <w:r w:rsidRPr="007D238F">
                <w:rPr>
                  <w:rStyle w:val="Hyperlink"/>
                  <w:rFonts w:ascii="Arial" w:hAnsi="Arial" w:cs="Arial"/>
                  <w:sz w:val="16"/>
                  <w:szCs w:val="16"/>
                  <w:lang w:val="en-AU"/>
                </w:rPr>
                <w:t>ACT Taxi Su</w:t>
              </w:r>
              <w:r w:rsidRPr="007D238F">
                <w:rPr>
                  <w:rStyle w:val="Hyperlink"/>
                  <w:rFonts w:ascii="Arial" w:hAnsi="Arial" w:cs="Arial"/>
                  <w:sz w:val="16"/>
                  <w:szCs w:val="16"/>
                </w:rPr>
                <w:t>bsidy Scheme</w:t>
              </w:r>
            </w:hyperlink>
            <w:r>
              <w:rPr>
                <w:rFonts w:ascii="Arial" w:hAnsi="Arial" w:cs="Arial"/>
                <w:color w:val="000000"/>
                <w:sz w:val="16"/>
                <w:szCs w:val="16"/>
              </w:rPr>
              <w:t xml:space="preserve"> into account). This estimate is also conservative as it does not take into account extra costs associated with Wheelchair Accessible Vehicles. For a similar estimate, see ACTCOSS’s (2016) </w:t>
            </w:r>
            <w:hyperlink r:id="rId18" w:history="1">
              <w:r w:rsidRPr="002C65DB">
                <w:rPr>
                  <w:rStyle w:val="Hyperlink"/>
                  <w:rFonts w:ascii="Arial" w:hAnsi="Arial" w:cs="Arial"/>
                  <w:sz w:val="16"/>
                  <w:szCs w:val="16"/>
                  <w:lang w:val="en-AU"/>
                </w:rPr>
                <w:t>A</w:t>
              </w:r>
              <w:r w:rsidRPr="002C65DB">
                <w:rPr>
                  <w:rStyle w:val="Hyperlink"/>
                  <w:rFonts w:ascii="Arial" w:hAnsi="Arial" w:cs="Arial"/>
                  <w:sz w:val="16"/>
                  <w:szCs w:val="16"/>
                </w:rPr>
                <w:t>CT Cost of Living Report: Transport,</w:t>
              </w:r>
            </w:hyperlink>
            <w:r>
              <w:rPr>
                <w:rFonts w:ascii="Arial" w:hAnsi="Arial" w:cs="Arial"/>
                <w:color w:val="000000"/>
                <w:sz w:val="16"/>
                <w:szCs w:val="16"/>
              </w:rPr>
              <w:t xml:space="preserve"> p. 56. </w:t>
            </w:r>
          </w:p>
          <w:p w14:paraId="0394497C" w14:textId="77777777" w:rsidR="007663C7" w:rsidRPr="00BC14C3" w:rsidRDefault="007663C7" w:rsidP="00F1711B">
            <w:pPr>
              <w:rPr>
                <w:rFonts w:ascii="Arial" w:hAnsi="Arial" w:cs="Arial"/>
                <w:color w:val="000000"/>
                <w:sz w:val="16"/>
                <w:szCs w:val="16"/>
              </w:rPr>
            </w:pPr>
            <w:r w:rsidRPr="00B27888">
              <w:rPr>
                <w:rFonts w:ascii="Arial" w:hAnsi="Arial" w:cs="Arial"/>
                <w:color w:val="000000"/>
                <w:sz w:val="16"/>
                <w:szCs w:val="16"/>
                <w:u w:val="single"/>
              </w:rPr>
              <w:t>Groceries + cost of disability loading:</w:t>
            </w:r>
            <w:r>
              <w:rPr>
                <w:rFonts w:ascii="Arial" w:hAnsi="Arial" w:cs="Arial"/>
                <w:color w:val="000000"/>
                <w:sz w:val="16"/>
                <w:szCs w:val="16"/>
              </w:rPr>
              <w:t xml:space="preserve"> </w:t>
            </w:r>
            <w:hyperlink r:id="rId19" w:anchor=":~:text=The%20average%20grocery%20bill%20for,month%20or%20%244%2C992%20a%20year." w:history="1">
              <w:r w:rsidRPr="00EF0702">
                <w:rPr>
                  <w:rStyle w:val="Hyperlink"/>
                  <w:rFonts w:ascii="Arial" w:hAnsi="Arial" w:cs="Arial"/>
                  <w:sz w:val="16"/>
                  <w:szCs w:val="16"/>
                  <w:lang w:val="en-AU"/>
                </w:rPr>
                <w:t>C</w:t>
              </w:r>
              <w:r w:rsidRPr="00EF0702">
                <w:rPr>
                  <w:rStyle w:val="Hyperlink"/>
                  <w:rFonts w:ascii="Arial" w:hAnsi="Arial" w:cs="Arial"/>
                  <w:sz w:val="16"/>
                  <w:szCs w:val="16"/>
                </w:rPr>
                <w:t>anstar Blue research</w:t>
              </w:r>
            </w:hyperlink>
            <w:r>
              <w:rPr>
                <w:rFonts w:ascii="Arial" w:hAnsi="Arial" w:cs="Arial"/>
                <w:color w:val="000000"/>
                <w:sz w:val="16"/>
                <w:szCs w:val="16"/>
              </w:rPr>
              <w:t xml:space="preserve"> found that $123 represents the average weekly grocery bill for a low-income household, as of July 2022. The disability loading represents the extra, hidden costs of disability. Comparing different survey responses, Frisch (2001) states that it is reasonable to anticipate additional costs between 2 and 5 percent for groceries. A conservative mid-point estimate (3.5%) was used here.  </w:t>
            </w:r>
          </w:p>
          <w:p w14:paraId="6AD3CB46" w14:textId="77777777" w:rsidR="007663C7" w:rsidRPr="00BC14C3" w:rsidRDefault="007663C7" w:rsidP="00F1711B">
            <w:pPr>
              <w:rPr>
                <w:rFonts w:ascii="Arial" w:hAnsi="Arial" w:cs="Arial"/>
                <w:color w:val="000000"/>
                <w:sz w:val="16"/>
                <w:szCs w:val="16"/>
              </w:rPr>
            </w:pPr>
            <w:r w:rsidRPr="00B27888">
              <w:rPr>
                <w:rFonts w:ascii="Arial" w:hAnsi="Arial" w:cs="Arial"/>
                <w:color w:val="000000"/>
                <w:sz w:val="16"/>
                <w:szCs w:val="16"/>
                <w:u w:val="single"/>
              </w:rPr>
              <w:t>Personal care and pharma + cost of disability loading:</w:t>
            </w:r>
            <w:r>
              <w:rPr>
                <w:rFonts w:ascii="Arial" w:hAnsi="Arial" w:cs="Arial"/>
                <w:color w:val="000000"/>
                <w:sz w:val="16"/>
                <w:szCs w:val="16"/>
              </w:rPr>
              <w:t xml:space="preserve"> This figure corresponds to Hughes and Purdey’s (1999) Survey results regarding median annual costs for people with disability. It has been updated to reflect 2022 values. The cost of disability loading refers to Frisch’s (2001) estimate of 2-5%. A conservative mid-point estimate (3.5%) was used here.  </w:t>
            </w:r>
          </w:p>
          <w:p w14:paraId="5A2A233B" w14:textId="77777777" w:rsidR="007663C7" w:rsidRPr="00BC14C3" w:rsidRDefault="007663C7" w:rsidP="00F1711B">
            <w:pPr>
              <w:rPr>
                <w:rFonts w:ascii="Arial" w:hAnsi="Arial" w:cs="Arial"/>
                <w:color w:val="000000"/>
                <w:sz w:val="16"/>
                <w:szCs w:val="16"/>
              </w:rPr>
            </w:pPr>
            <w:r w:rsidRPr="00B27888">
              <w:rPr>
                <w:rFonts w:ascii="Arial" w:hAnsi="Arial" w:cs="Arial"/>
                <w:color w:val="000000"/>
                <w:sz w:val="16"/>
                <w:szCs w:val="16"/>
                <w:u w:val="single"/>
              </w:rPr>
              <w:t xml:space="preserve">Healthcare/pharma/dental/unanticipated event: </w:t>
            </w:r>
            <w:hyperlink r:id="rId20" w:history="1">
              <w:r w:rsidRPr="00B31383">
                <w:rPr>
                  <w:rStyle w:val="Hyperlink"/>
                  <w:rFonts w:ascii="Arial" w:hAnsi="Arial" w:cs="Arial"/>
                  <w:sz w:val="16"/>
                  <w:szCs w:val="16"/>
                  <w:lang w:val="en-AU"/>
                </w:rPr>
                <w:t>Household</w:t>
              </w:r>
              <w:r w:rsidRPr="00B31383">
                <w:rPr>
                  <w:rStyle w:val="Hyperlink"/>
                  <w:rFonts w:ascii="Arial" w:hAnsi="Arial" w:cs="Arial"/>
                  <w:sz w:val="16"/>
                  <w:szCs w:val="16"/>
                </w:rPr>
                <w:t xml:space="preserve"> whitegood repair estimates</w:t>
              </w:r>
            </w:hyperlink>
            <w:r>
              <w:rPr>
                <w:rFonts w:ascii="Arial" w:hAnsi="Arial" w:cs="Arial"/>
                <w:color w:val="000000"/>
                <w:sz w:val="16"/>
                <w:szCs w:val="16"/>
              </w:rPr>
              <w:t xml:space="preserve"> start at $195 in the main suburbs of Canberra. Conservative one-off estimate here equates to an appliance repair which requires additional part (+$45.00). This cost is difficult to calculate as it could cover a large range. For example, emergency dental such as root canal can </w:t>
            </w:r>
            <w:hyperlink r:id="rId21" w:history="1">
              <w:r w:rsidRPr="008F5BF4">
                <w:rPr>
                  <w:rStyle w:val="Hyperlink"/>
                  <w:rFonts w:ascii="Arial" w:hAnsi="Arial" w:cs="Arial"/>
                  <w:sz w:val="16"/>
                  <w:szCs w:val="16"/>
                  <w:lang w:val="en-AU"/>
                </w:rPr>
                <w:t xml:space="preserve">cost up to </w:t>
              </w:r>
              <w:r w:rsidRPr="008F5BF4">
                <w:rPr>
                  <w:rStyle w:val="Hyperlink"/>
                  <w:rFonts w:ascii="Arial" w:hAnsi="Arial" w:cs="Arial"/>
                  <w:sz w:val="16"/>
                  <w:szCs w:val="16"/>
                </w:rPr>
                <w:t>$1100;</w:t>
              </w:r>
            </w:hyperlink>
            <w:r>
              <w:rPr>
                <w:rFonts w:ascii="Arial" w:hAnsi="Arial" w:cs="Arial"/>
                <w:color w:val="000000"/>
                <w:sz w:val="16"/>
                <w:szCs w:val="16"/>
              </w:rPr>
              <w:t xml:space="preserve"> a dental extraction may be up to $600. Note: Approximately 40% of DSP recipients could not raise $2000 within a week.    </w:t>
            </w:r>
          </w:p>
        </w:tc>
      </w:tr>
    </w:tbl>
    <w:p w14:paraId="076CC034" w14:textId="641878E2" w:rsidR="004F6517" w:rsidRDefault="004F6517" w:rsidP="004F6517">
      <w:pPr>
        <w:spacing w:after="0" w:line="240" w:lineRule="auto"/>
        <w:rPr>
          <w:rFonts w:ascii="Arial" w:hAnsi="Arial" w:cs="Arial"/>
          <w:sz w:val="24"/>
        </w:rPr>
      </w:pPr>
      <w:r>
        <w:rPr>
          <w:rFonts w:ascii="Arial" w:hAnsi="Arial" w:cs="Arial"/>
          <w:sz w:val="24"/>
        </w:rPr>
        <w:t xml:space="preserve"> </w:t>
      </w:r>
    </w:p>
    <w:p w14:paraId="25D3B322" w14:textId="721642EF" w:rsidR="00A50E8D" w:rsidRPr="00A50E8D" w:rsidRDefault="00A50E8D" w:rsidP="00A50E8D">
      <w:pPr>
        <w:spacing w:after="0" w:line="240" w:lineRule="auto"/>
        <w:rPr>
          <w:rFonts w:ascii="Arial" w:hAnsi="Arial" w:cs="Arial"/>
          <w:sz w:val="24"/>
        </w:rPr>
      </w:pPr>
    </w:p>
    <w:sectPr w:rsidR="00A50E8D" w:rsidRPr="00A50E8D" w:rsidSect="00945F20">
      <w:headerReference w:type="default" r:id="rId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D609" w14:textId="77777777" w:rsidR="00A106DB" w:rsidRDefault="00A106DB" w:rsidP="00EA4B8C">
      <w:pPr>
        <w:spacing w:after="0" w:line="240" w:lineRule="auto"/>
      </w:pPr>
      <w:r>
        <w:separator/>
      </w:r>
    </w:p>
  </w:endnote>
  <w:endnote w:type="continuationSeparator" w:id="0">
    <w:p w14:paraId="1A2452A8" w14:textId="77777777" w:rsidR="00A106DB" w:rsidRDefault="00A106DB" w:rsidP="00EA4B8C">
      <w:pPr>
        <w:spacing w:after="0" w:line="240" w:lineRule="auto"/>
      </w:pPr>
      <w:r>
        <w:continuationSeparator/>
      </w:r>
    </w:p>
  </w:endnote>
  <w:endnote w:type="continuationNotice" w:id="1">
    <w:p w14:paraId="1F056E50" w14:textId="77777777" w:rsidR="00A106DB" w:rsidRDefault="00A10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1EF5" w14:textId="77777777" w:rsidR="00A106DB" w:rsidRDefault="00A106DB" w:rsidP="00EA4B8C">
      <w:pPr>
        <w:spacing w:after="0" w:line="240" w:lineRule="auto"/>
      </w:pPr>
      <w:r>
        <w:separator/>
      </w:r>
    </w:p>
  </w:footnote>
  <w:footnote w:type="continuationSeparator" w:id="0">
    <w:p w14:paraId="69C3B913" w14:textId="77777777" w:rsidR="00A106DB" w:rsidRDefault="00A106DB" w:rsidP="00EA4B8C">
      <w:pPr>
        <w:spacing w:after="0" w:line="240" w:lineRule="auto"/>
      </w:pPr>
      <w:r>
        <w:continuationSeparator/>
      </w:r>
    </w:p>
  </w:footnote>
  <w:footnote w:type="continuationNotice" w:id="1">
    <w:p w14:paraId="594A4A80" w14:textId="77777777" w:rsidR="00A106DB" w:rsidRDefault="00A106DB">
      <w:pPr>
        <w:spacing w:after="0" w:line="240" w:lineRule="auto"/>
      </w:pPr>
    </w:p>
  </w:footnote>
  <w:footnote w:id="2">
    <w:p w14:paraId="44035F67" w14:textId="77777777" w:rsidR="008E0517" w:rsidRPr="00090DAD" w:rsidRDefault="008E0517" w:rsidP="008E0517">
      <w:pPr>
        <w:pStyle w:val="NormalWeb"/>
        <w:shd w:val="clear" w:color="auto" w:fill="FFFFFF"/>
        <w:spacing w:line="240" w:lineRule="auto"/>
        <w:rPr>
          <w:rFonts w:ascii="D-DIN" w:hAnsi="D-DIN" w:cstheme="minorBidi"/>
          <w:color w:val="4472C4" w:themeColor="accent1"/>
          <w:sz w:val="18"/>
          <w:szCs w:val="18"/>
          <w:lang w:val="en-GB"/>
        </w:rPr>
      </w:pPr>
      <w:r w:rsidRPr="00936E13">
        <w:rPr>
          <w:rStyle w:val="FootnoteReference"/>
          <w:rFonts w:ascii="D-DIN" w:hAnsi="D-DIN"/>
          <w:sz w:val="18"/>
          <w:szCs w:val="18"/>
        </w:rPr>
        <w:footnoteRef/>
      </w:r>
      <w:r w:rsidRPr="00936E13">
        <w:rPr>
          <w:rFonts w:ascii="D-DIN" w:hAnsi="D-DIN"/>
          <w:sz w:val="18"/>
          <w:szCs w:val="18"/>
        </w:rPr>
        <w:t xml:space="preserve"> </w:t>
      </w:r>
      <w:r w:rsidRPr="00936E13">
        <w:rPr>
          <w:rFonts w:ascii="D-DIN" w:hAnsi="D-DIN" w:cstheme="minorBidi"/>
          <w:sz w:val="18"/>
          <w:szCs w:val="18"/>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 w:id="3">
    <w:p w14:paraId="3C65F70C" w14:textId="77777777" w:rsidR="004C1813" w:rsidRDefault="004C1813" w:rsidP="004C1813">
      <w:pPr>
        <w:pStyle w:val="FootnoteText"/>
      </w:pPr>
      <w:r>
        <w:rPr>
          <w:rStyle w:val="FootnoteReference"/>
        </w:rPr>
        <w:footnoteRef/>
      </w:r>
      <w:r>
        <w:t xml:space="preserve"> ACT Council of Social Services (2022) </w:t>
      </w:r>
      <w:hyperlink r:id="rId1" w:history="1">
        <w:r w:rsidRPr="001A14DA">
          <w:rPr>
            <w:rStyle w:val="Hyperlink"/>
          </w:rPr>
          <w:t>ACT Cost of Living Report.</w:t>
        </w:r>
      </w:hyperlink>
      <w:r>
        <w:t xml:space="preserve"> ACTCOSS, Canberra, p. 18-21. </w:t>
      </w:r>
    </w:p>
  </w:footnote>
  <w:footnote w:id="4">
    <w:p w14:paraId="2EC35C54" w14:textId="77777777" w:rsidR="004C1813" w:rsidRDefault="004C1813" w:rsidP="004C1813">
      <w:pPr>
        <w:pStyle w:val="FootnoteText"/>
      </w:pPr>
      <w:r>
        <w:rPr>
          <w:rStyle w:val="FootnoteReference"/>
        </w:rPr>
        <w:footnoteRef/>
      </w:r>
      <w:r>
        <w:t xml:space="preserve"> Dignam, J. and Barrett, B. (2022). </w:t>
      </w:r>
      <w:hyperlink r:id="rId2" w:history="1">
        <w:r w:rsidRPr="001A14DA">
          <w:rPr>
            <w:rStyle w:val="Hyperlink"/>
          </w:rPr>
          <w:t>Cold and costly: Renter Researchers’ Experiences of Winter ’22</w:t>
        </w:r>
      </w:hyperlink>
      <w:r>
        <w:t>. Canberra: Better Renting.</w:t>
      </w:r>
    </w:p>
  </w:footnote>
  <w:footnote w:id="5">
    <w:p w14:paraId="17B9DB9C" w14:textId="77777777" w:rsidR="004C1813" w:rsidRDefault="004C1813" w:rsidP="004C1813">
      <w:pPr>
        <w:pStyle w:val="FootnoteText"/>
      </w:pPr>
      <w:r>
        <w:rPr>
          <w:rStyle w:val="FootnoteReference"/>
        </w:rPr>
        <w:footnoteRef/>
      </w:r>
      <w:r>
        <w:t xml:space="preserve"> Productivity Commission (2023) Report on Government Services. </w:t>
      </w:r>
      <w:hyperlink r:id="rId3" w:history="1">
        <w:r w:rsidRPr="0013471A">
          <w:rPr>
            <w:rStyle w:val="Hyperlink"/>
          </w:rPr>
          <w:t>Part E – Health: 10 Primary and Community Health.</w:t>
        </w:r>
      </w:hyperlink>
      <w:r>
        <w:t xml:space="preserve"> Tables 10A.31 and 10A.27.</w:t>
      </w:r>
    </w:p>
  </w:footnote>
  <w:footnote w:id="6">
    <w:p w14:paraId="502AA206" w14:textId="77777777" w:rsidR="004C1813" w:rsidRDefault="004C1813" w:rsidP="004C1813">
      <w:pPr>
        <w:pStyle w:val="FootnoteText"/>
      </w:pPr>
      <w:r>
        <w:rPr>
          <w:rStyle w:val="FootnoteReference"/>
        </w:rPr>
        <w:footnoteRef/>
      </w:r>
      <w:r>
        <w:t xml:space="preserve"> ACT Council of Social Services (2022) </w:t>
      </w:r>
      <w:hyperlink r:id="rId4" w:history="1">
        <w:r w:rsidRPr="001A14DA">
          <w:rPr>
            <w:rStyle w:val="Hyperlink"/>
          </w:rPr>
          <w:t>ACT Cost of Living Report.</w:t>
        </w:r>
      </w:hyperlink>
      <w:r>
        <w:t xml:space="preserve"> ACTCOSS, Canberra, p. 22-29.</w:t>
      </w:r>
    </w:p>
  </w:footnote>
  <w:footnote w:id="7">
    <w:p w14:paraId="3AEF3785" w14:textId="5E150482" w:rsidR="003C0A9C" w:rsidRDefault="003C0A9C">
      <w:pPr>
        <w:pStyle w:val="FootnoteText"/>
      </w:pPr>
      <w:r>
        <w:rPr>
          <w:rStyle w:val="FootnoteReference"/>
        </w:rPr>
        <w:footnoteRef/>
      </w:r>
      <w:r>
        <w:t xml:space="preserve"> </w:t>
      </w:r>
      <w:r w:rsidR="00E66E01">
        <w:t xml:space="preserve">Productivity Commission </w:t>
      </w:r>
      <w:r>
        <w:t>(2023)</w:t>
      </w:r>
      <w:r w:rsidR="00E66E01">
        <w:t xml:space="preserve"> </w:t>
      </w:r>
      <w:r>
        <w:t>Report on Government Services</w:t>
      </w:r>
      <w:r w:rsidR="00E66E01">
        <w:t>.</w:t>
      </w:r>
      <w:r>
        <w:t xml:space="preserve"> </w:t>
      </w:r>
      <w:hyperlink r:id="rId5" w:history="1">
        <w:r w:rsidR="0069061D" w:rsidRPr="00AA2A4A">
          <w:rPr>
            <w:rStyle w:val="Hyperlink"/>
          </w:rPr>
          <w:t>Part G – Housing and Homelessness.</w:t>
        </w:r>
      </w:hyperlink>
      <w:r w:rsidR="0069061D">
        <w:t xml:space="preserve"> Table GA.13. </w:t>
      </w:r>
    </w:p>
  </w:footnote>
  <w:footnote w:id="8">
    <w:p w14:paraId="58A70A74" w14:textId="545651DD" w:rsidR="00267566" w:rsidRDefault="00267566">
      <w:pPr>
        <w:pStyle w:val="FootnoteText"/>
      </w:pPr>
      <w:r>
        <w:rPr>
          <w:rStyle w:val="FootnoteReference"/>
        </w:rPr>
        <w:footnoteRef/>
      </w:r>
      <w:r>
        <w:t xml:space="preserve"> </w:t>
      </w:r>
      <w:r w:rsidR="00AE54D1">
        <w:t xml:space="preserve">Anglicare Australia (2022) </w:t>
      </w:r>
      <w:hyperlink r:id="rId6" w:history="1">
        <w:r w:rsidR="00AE54D1" w:rsidRPr="00576E42">
          <w:rPr>
            <w:rStyle w:val="Hyperlink"/>
          </w:rPr>
          <w:t>Rental Affordability Snapshot</w:t>
        </w:r>
        <w:r w:rsidR="002A19A4" w:rsidRPr="00576E42">
          <w:rPr>
            <w:rStyle w:val="Hyperlink"/>
          </w:rPr>
          <w:t>: National Report</w:t>
        </w:r>
      </w:hyperlink>
      <w:r w:rsidR="00576E42">
        <w:t xml:space="preserve">. Table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B3A9" w14:textId="5ECDF3B0" w:rsidR="00EA4B8C" w:rsidRDefault="00EA4B8C">
    <w:pPr>
      <w:pStyle w:val="Header"/>
    </w:pPr>
    <w:r>
      <w:rPr>
        <w:noProof/>
      </w:rPr>
      <w:drawing>
        <wp:anchor distT="0" distB="0" distL="114300" distR="114300" simplePos="0" relativeHeight="251658240" behindDoc="1" locked="0" layoutInCell="1" allowOverlap="1" wp14:anchorId="44256080" wp14:editId="1A82C5DB">
          <wp:simplePos x="0" y="0"/>
          <wp:positionH relativeFrom="column">
            <wp:posOffset>-930303</wp:posOffset>
          </wp:positionH>
          <wp:positionV relativeFrom="paragraph">
            <wp:posOffset>-453859</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7778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2B3C4" w14:textId="77777777" w:rsidR="00EA4B8C" w:rsidRDefault="00EA4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72989"/>
    <w:multiLevelType w:val="hybridMultilevel"/>
    <w:tmpl w:val="11C86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869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8C"/>
    <w:rsid w:val="00010A76"/>
    <w:rsid w:val="00036C64"/>
    <w:rsid w:val="00095972"/>
    <w:rsid w:val="000D081B"/>
    <w:rsid w:val="000D4DE3"/>
    <w:rsid w:val="00101C6F"/>
    <w:rsid w:val="0017046D"/>
    <w:rsid w:val="0018456F"/>
    <w:rsid w:val="001A6CDB"/>
    <w:rsid w:val="001C0773"/>
    <w:rsid w:val="001E77FA"/>
    <w:rsid w:val="00215DAE"/>
    <w:rsid w:val="00232842"/>
    <w:rsid w:val="00267566"/>
    <w:rsid w:val="00287A6B"/>
    <w:rsid w:val="002A19A4"/>
    <w:rsid w:val="002C0AE6"/>
    <w:rsid w:val="002E7F8D"/>
    <w:rsid w:val="003373E2"/>
    <w:rsid w:val="0039597A"/>
    <w:rsid w:val="003A25FE"/>
    <w:rsid w:val="003C0A9C"/>
    <w:rsid w:val="003C25E8"/>
    <w:rsid w:val="004C1813"/>
    <w:rsid w:val="004D1813"/>
    <w:rsid w:val="004F6517"/>
    <w:rsid w:val="0050194F"/>
    <w:rsid w:val="005502A8"/>
    <w:rsid w:val="005605E3"/>
    <w:rsid w:val="00570008"/>
    <w:rsid w:val="00576E42"/>
    <w:rsid w:val="005F6B8B"/>
    <w:rsid w:val="00604932"/>
    <w:rsid w:val="00624CEA"/>
    <w:rsid w:val="00636BC8"/>
    <w:rsid w:val="0069061D"/>
    <w:rsid w:val="00692D2F"/>
    <w:rsid w:val="006B1F3C"/>
    <w:rsid w:val="006C7F0C"/>
    <w:rsid w:val="006D2314"/>
    <w:rsid w:val="006E0028"/>
    <w:rsid w:val="006E20E4"/>
    <w:rsid w:val="00722F40"/>
    <w:rsid w:val="00730F3F"/>
    <w:rsid w:val="007618AD"/>
    <w:rsid w:val="007663C7"/>
    <w:rsid w:val="00770BEF"/>
    <w:rsid w:val="00770FF9"/>
    <w:rsid w:val="007A7497"/>
    <w:rsid w:val="007B5962"/>
    <w:rsid w:val="00836D43"/>
    <w:rsid w:val="008622D1"/>
    <w:rsid w:val="00864013"/>
    <w:rsid w:val="00867F5D"/>
    <w:rsid w:val="00886B62"/>
    <w:rsid w:val="008A597A"/>
    <w:rsid w:val="008B75E4"/>
    <w:rsid w:val="008E0517"/>
    <w:rsid w:val="008E1682"/>
    <w:rsid w:val="00936E13"/>
    <w:rsid w:val="00945F20"/>
    <w:rsid w:val="00973609"/>
    <w:rsid w:val="009D30F7"/>
    <w:rsid w:val="009F43CB"/>
    <w:rsid w:val="00A00785"/>
    <w:rsid w:val="00A106DB"/>
    <w:rsid w:val="00A50E8D"/>
    <w:rsid w:val="00A71A58"/>
    <w:rsid w:val="00A85C3D"/>
    <w:rsid w:val="00A945A6"/>
    <w:rsid w:val="00AA2A4A"/>
    <w:rsid w:val="00AA68A2"/>
    <w:rsid w:val="00AB4DC9"/>
    <w:rsid w:val="00AC6289"/>
    <w:rsid w:val="00AE4A67"/>
    <w:rsid w:val="00AE54D1"/>
    <w:rsid w:val="00B17F92"/>
    <w:rsid w:val="00B27888"/>
    <w:rsid w:val="00B4045F"/>
    <w:rsid w:val="00BC4903"/>
    <w:rsid w:val="00C20AB2"/>
    <w:rsid w:val="00C31BB7"/>
    <w:rsid w:val="00C3389D"/>
    <w:rsid w:val="00CA7A1A"/>
    <w:rsid w:val="00CB341D"/>
    <w:rsid w:val="00CB7CDC"/>
    <w:rsid w:val="00CC714B"/>
    <w:rsid w:val="00D044A7"/>
    <w:rsid w:val="00D24EB8"/>
    <w:rsid w:val="00D63E39"/>
    <w:rsid w:val="00D72DFC"/>
    <w:rsid w:val="00D747FB"/>
    <w:rsid w:val="00DA39D3"/>
    <w:rsid w:val="00E05B97"/>
    <w:rsid w:val="00E44E6B"/>
    <w:rsid w:val="00E66E01"/>
    <w:rsid w:val="00EA4439"/>
    <w:rsid w:val="00EA4B8C"/>
    <w:rsid w:val="00EB4291"/>
    <w:rsid w:val="00EC57A6"/>
    <w:rsid w:val="00F32E42"/>
    <w:rsid w:val="00F412DD"/>
    <w:rsid w:val="00F725DC"/>
    <w:rsid w:val="00FB1BB7"/>
    <w:rsid w:val="00FD3986"/>
    <w:rsid w:val="00FE51E8"/>
    <w:rsid w:val="418A68CE"/>
    <w:rsid w:val="46968AB0"/>
    <w:rsid w:val="6515C70C"/>
    <w:rsid w:val="6D40D19A"/>
    <w:rsid w:val="70BA2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7FDC7"/>
  <w15:chartTrackingRefBased/>
  <w15:docId w15:val="{E5A6F157-BE8B-4D2B-AC1E-2A386581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B8C"/>
    <w:pPr>
      <w:widowControl w:val="0"/>
      <w:tabs>
        <w:tab w:val="center" w:pos="4513"/>
        <w:tab w:val="right" w:pos="9026"/>
      </w:tabs>
      <w:suppressAutoHyphens/>
      <w:autoSpaceDE w:val="0"/>
      <w:autoSpaceDN w:val="0"/>
      <w:adjustRightInd w:val="0"/>
      <w:spacing w:after="0" w:line="240" w:lineRule="auto"/>
      <w:textAlignment w:val="center"/>
    </w:pPr>
    <w:rPr>
      <w:rFonts w:ascii="D-DIN" w:hAnsi="D-DIN" w:cs="TradeGothic-Light"/>
      <w:color w:val="000000"/>
      <w:spacing w:val="-2"/>
      <w:szCs w:val="24"/>
      <w:lang w:val="en-GB"/>
    </w:rPr>
  </w:style>
  <w:style w:type="character" w:customStyle="1" w:styleId="HeaderChar">
    <w:name w:val="Header Char"/>
    <w:basedOn w:val="DefaultParagraphFont"/>
    <w:link w:val="Header"/>
    <w:uiPriority w:val="99"/>
    <w:rsid w:val="00EA4B8C"/>
    <w:rPr>
      <w:rFonts w:ascii="D-DIN" w:hAnsi="D-DIN" w:cs="TradeGothic-Light"/>
      <w:color w:val="000000"/>
      <w:spacing w:val="-2"/>
      <w:szCs w:val="24"/>
      <w:lang w:val="en-GB"/>
    </w:rPr>
  </w:style>
  <w:style w:type="character" w:styleId="Hyperlink">
    <w:name w:val="Hyperlink"/>
    <w:basedOn w:val="DefaultParagraphFont"/>
    <w:uiPriority w:val="99"/>
    <w:unhideWhenUsed/>
    <w:rsid w:val="00EA4B8C"/>
    <w:rPr>
      <w:color w:val="0563C1" w:themeColor="hyperlink"/>
      <w:u w:val="single"/>
    </w:rPr>
  </w:style>
  <w:style w:type="paragraph" w:styleId="Footer">
    <w:name w:val="footer"/>
    <w:basedOn w:val="Normal"/>
    <w:link w:val="FooterChar"/>
    <w:uiPriority w:val="99"/>
    <w:unhideWhenUsed/>
    <w:rsid w:val="00EA4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B8C"/>
  </w:style>
  <w:style w:type="character" w:styleId="UnresolvedMention">
    <w:name w:val="Unresolved Mention"/>
    <w:basedOn w:val="DefaultParagraphFont"/>
    <w:uiPriority w:val="99"/>
    <w:semiHidden/>
    <w:unhideWhenUsed/>
    <w:rsid w:val="00EA4B8C"/>
    <w:rPr>
      <w:color w:val="605E5C"/>
      <w:shd w:val="clear" w:color="auto" w:fill="E1DFDD"/>
    </w:rPr>
  </w:style>
  <w:style w:type="paragraph" w:styleId="ListParagraph">
    <w:name w:val="List Paragraph"/>
    <w:basedOn w:val="Normal"/>
    <w:uiPriority w:val="34"/>
    <w:qFormat/>
    <w:rsid w:val="00D72DFC"/>
    <w:pPr>
      <w:ind w:left="720"/>
      <w:contextualSpacing/>
    </w:pPr>
  </w:style>
  <w:style w:type="paragraph" w:styleId="FootnoteText">
    <w:name w:val="footnote text"/>
    <w:basedOn w:val="Normal"/>
    <w:link w:val="FootnoteTextChar"/>
    <w:uiPriority w:val="99"/>
    <w:semiHidden/>
    <w:unhideWhenUsed/>
    <w:rsid w:val="003C0A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A9C"/>
    <w:rPr>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3C0A9C"/>
    <w:rPr>
      <w:vertAlign w:val="superscript"/>
    </w:rPr>
  </w:style>
  <w:style w:type="paragraph" w:styleId="NoSpacing">
    <w:name w:val="No Spacing"/>
    <w:link w:val="NoSpacingChar"/>
    <w:uiPriority w:val="1"/>
    <w:qFormat/>
    <w:rsid w:val="008E0517"/>
    <w:pPr>
      <w:spacing w:after="0" w:line="240" w:lineRule="auto"/>
    </w:pPr>
    <w:rPr>
      <w:szCs w:val="24"/>
      <w:lang w:eastAsia="zh-CN"/>
    </w:rPr>
  </w:style>
  <w:style w:type="character" w:customStyle="1" w:styleId="NoSpacingChar">
    <w:name w:val="No Spacing Char"/>
    <w:basedOn w:val="DefaultParagraphFont"/>
    <w:link w:val="NoSpacing"/>
    <w:uiPriority w:val="1"/>
    <w:rsid w:val="008E0517"/>
    <w:rPr>
      <w:szCs w:val="24"/>
      <w:lang w:eastAsia="zh-CN"/>
    </w:rPr>
  </w:style>
  <w:style w:type="paragraph" w:styleId="NormalWeb">
    <w:name w:val="Normal (Web)"/>
    <w:basedOn w:val="Normal"/>
    <w:uiPriority w:val="99"/>
    <w:unhideWhenUsed/>
    <w:rsid w:val="008E0517"/>
    <w:pPr>
      <w:spacing w:after="0" w:line="360" w:lineRule="auto"/>
    </w:pPr>
    <w:rPr>
      <w:rFonts w:ascii="Times New Roman" w:hAnsi="Times New Roman" w:cs="Times New Roman"/>
      <w:sz w:val="24"/>
      <w:szCs w:val="24"/>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8E0517"/>
    <w:pPr>
      <w:spacing w:line="240" w:lineRule="exact"/>
      <w:jc w:val="both"/>
    </w:pPr>
    <w:rPr>
      <w:vertAlign w:val="superscript"/>
    </w:rPr>
  </w:style>
  <w:style w:type="character" w:customStyle="1" w:styleId="ui-provider">
    <w:name w:val="ui-provider"/>
    <w:basedOn w:val="DefaultParagraphFont"/>
    <w:rsid w:val="00F725DC"/>
  </w:style>
  <w:style w:type="table" w:styleId="TableGrid">
    <w:name w:val="Table Grid"/>
    <w:basedOn w:val="TableNormal"/>
    <w:uiPriority w:val="39"/>
    <w:rsid w:val="00F725DC"/>
    <w:pPr>
      <w:spacing w:after="0" w:line="240" w:lineRule="auto"/>
    </w:pPr>
    <w:rPr>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qmresearch.com.au/weekly-rents.php?region=act-Canberra&amp;type=c&amp;t=1" TargetMode="External"/><Relationship Id="rId18" Type="http://schemas.openxmlformats.org/officeDocument/2006/relationships/hyperlink" Target="https://apo.org.au/sites/default/files/resource-files/2016-04/apo-nid62449.pdf" TargetMode="External"/><Relationship Id="rId3" Type="http://schemas.openxmlformats.org/officeDocument/2006/relationships/customXml" Target="../customXml/item3.xml"/><Relationship Id="rId21" Type="http://schemas.openxmlformats.org/officeDocument/2006/relationships/hyperlink" Target="https://www.nationaldentalcare.com.au/article/how-much-more-expensive-is-emergency-dental" TargetMode="External"/><Relationship Id="rId7" Type="http://schemas.openxmlformats.org/officeDocument/2006/relationships/webSettings" Target="webSettings.xml"/><Relationship Id="rId12" Type="http://schemas.openxmlformats.org/officeDocument/2006/relationships/hyperlink" Target="https://www.advocacyforinclusion.org/wp-content/uploads/2022/10/White-Paper-Housing-12-October-2022-FINAL.pdf" TargetMode="External"/><Relationship Id="rId17" Type="http://schemas.openxmlformats.org/officeDocument/2006/relationships/hyperlink" Target="https://www.audit.act.gov.au/__data/assets/pdf_file/0004/2017516/Report-No.3-of-2022-ACT-Taxi-Subsidy-Scheme.pdf" TargetMode="External"/><Relationship Id="rId2" Type="http://schemas.openxmlformats.org/officeDocument/2006/relationships/customXml" Target="../customXml/item2.xml"/><Relationship Id="rId16" Type="http://schemas.openxmlformats.org/officeDocument/2006/relationships/hyperlink" Target="https://www.finder.com.au/broadband-plans" TargetMode="External"/><Relationship Id="rId20" Type="http://schemas.openxmlformats.org/officeDocument/2006/relationships/hyperlink" Target="https://aes-service.com.au/pric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ocacyforinclusion.org/wp-content/uploads/2022/10/White-Paper-Income-Support-Sept-2022-1.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nstarblue.com.au/phone/average-mobile-phone-bill/" TargetMode="External"/><Relationship Id="rId23" Type="http://schemas.openxmlformats.org/officeDocument/2006/relationships/fontTable" Target="fontTable.xml"/><Relationship Id="rId10" Type="http://schemas.openxmlformats.org/officeDocument/2006/relationships/hyperlink" Target="mailto:community.affairs.sen@aph.gov.au" TargetMode="External"/><Relationship Id="rId19" Type="http://schemas.openxmlformats.org/officeDocument/2006/relationships/hyperlink" Target="https://www.canstarblue.com.au/groceries/average-grocery-bi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berra.com.au/live/moving-to-canberra/cost-of-living/"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pc.gov.au/ongoing/report-on-government-services/2023/health/primary-and-community-health/rogs-2023-parte-section10-primary-and-community-health-data-tables.xlsx" TargetMode="External"/><Relationship Id="rId2" Type="http://schemas.openxmlformats.org/officeDocument/2006/relationships/hyperlink" Target="https://assets.nationbuilder.com/betterrenting/pages/345/attachments/original/1661403951/Cold_and_costly_-_Winter_Renter_Researchers.pdf?1661403951" TargetMode="External"/><Relationship Id="rId1" Type="http://schemas.openxmlformats.org/officeDocument/2006/relationships/hyperlink" Target="https://www.actcoss.org.au/sites/default/files/public/publications/2022-report-ACT-Cost-of-Living.pdf" TargetMode="External"/><Relationship Id="rId6" Type="http://schemas.openxmlformats.org/officeDocument/2006/relationships/hyperlink" Target="https://www.anglicare.asn.au/wp-content/uploads/2022/04/Rental-Affordability-Snapshot-National-report.pdf" TargetMode="External"/><Relationship Id="rId5" Type="http://schemas.openxmlformats.org/officeDocument/2006/relationships/hyperlink" Target="https://www.pc.gov.au/ongoing/report-on-government-services/2023/housing-and-homelessness?utm_source=twitter&amp;utm_medium=organic&amp;utm_campaign=mcm_social&amp;utm_id=rogs_2023_housing" TargetMode="External"/><Relationship Id="rId4" Type="http://schemas.openxmlformats.org/officeDocument/2006/relationships/hyperlink" Target="https://www.actcoss.org.au/sites/default/files/public/publications/2022-report-ACT-Cost-of-Liv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4DCF4-F237-48A0-869D-4773C5FF3B8A}">
  <ds:schemaRefs>
    <ds:schemaRef ds:uri="http://schemas.openxmlformats.org/officeDocument/2006/bibliography"/>
  </ds:schemaRefs>
</ds:datastoreItem>
</file>

<file path=customXml/itemProps2.xml><?xml version="1.0" encoding="utf-8"?>
<ds:datastoreItem xmlns:ds="http://schemas.openxmlformats.org/officeDocument/2006/customXml" ds:itemID="{80F79BA2-EFE5-4A29-9E8A-0FE9652406E4}">
  <ds:schemaRefs>
    <ds:schemaRef ds:uri="http://schemas.microsoft.com/sharepoint/v3/contenttype/forms"/>
  </ds:schemaRefs>
</ds:datastoreItem>
</file>

<file path=customXml/itemProps3.xml><?xml version="1.0" encoding="utf-8"?>
<ds:datastoreItem xmlns:ds="http://schemas.openxmlformats.org/officeDocument/2006/customXml" ds:itemID="{B7B0822C-D895-4CCF-B17A-4D03F6E91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Links>
    <vt:vector size="108" baseType="variant">
      <vt:variant>
        <vt:i4>1245191</vt:i4>
      </vt:variant>
      <vt:variant>
        <vt:i4>33</vt:i4>
      </vt:variant>
      <vt:variant>
        <vt:i4>0</vt:i4>
      </vt:variant>
      <vt:variant>
        <vt:i4>5</vt:i4>
      </vt:variant>
      <vt:variant>
        <vt:lpwstr>https://www.nationaldentalcare.com.au/article/how-much-more-expensive-is-emergency-dental</vt:lpwstr>
      </vt:variant>
      <vt:variant>
        <vt:lpwstr/>
      </vt:variant>
      <vt:variant>
        <vt:i4>2359392</vt:i4>
      </vt:variant>
      <vt:variant>
        <vt:i4>30</vt:i4>
      </vt:variant>
      <vt:variant>
        <vt:i4>0</vt:i4>
      </vt:variant>
      <vt:variant>
        <vt:i4>5</vt:i4>
      </vt:variant>
      <vt:variant>
        <vt:lpwstr>https://aes-service.com.au/pricing/</vt:lpwstr>
      </vt:variant>
      <vt:variant>
        <vt:lpwstr/>
      </vt:variant>
      <vt:variant>
        <vt:i4>3014759</vt:i4>
      </vt:variant>
      <vt:variant>
        <vt:i4>27</vt:i4>
      </vt:variant>
      <vt:variant>
        <vt:i4>0</vt:i4>
      </vt:variant>
      <vt:variant>
        <vt:i4>5</vt:i4>
      </vt:variant>
      <vt:variant>
        <vt:lpwstr>https://www.canstarblue.com.au/groceries/average-grocery-bill/</vt:lpwstr>
      </vt:variant>
      <vt:variant>
        <vt:lpwstr>:~:text=The%20average%20grocery%20bill%20for,month%20or%20%244%2C992%20a%20year.</vt:lpwstr>
      </vt:variant>
      <vt:variant>
        <vt:i4>7405689</vt:i4>
      </vt:variant>
      <vt:variant>
        <vt:i4>24</vt:i4>
      </vt:variant>
      <vt:variant>
        <vt:i4>0</vt:i4>
      </vt:variant>
      <vt:variant>
        <vt:i4>5</vt:i4>
      </vt:variant>
      <vt:variant>
        <vt:lpwstr>https://apo.org.au/sites/default/files/resource-files/2016-04/apo-nid62449.pdf</vt:lpwstr>
      </vt:variant>
      <vt:variant>
        <vt:lpwstr/>
      </vt:variant>
      <vt:variant>
        <vt:i4>8257615</vt:i4>
      </vt:variant>
      <vt:variant>
        <vt:i4>21</vt:i4>
      </vt:variant>
      <vt:variant>
        <vt:i4>0</vt:i4>
      </vt:variant>
      <vt:variant>
        <vt:i4>5</vt:i4>
      </vt:variant>
      <vt:variant>
        <vt:lpwstr>https://www.audit.act.gov.au/__data/assets/pdf_file/0004/2017516/Report-No.3-of-2022-ACT-Taxi-Subsidy-Scheme.pdf</vt:lpwstr>
      </vt:variant>
      <vt:variant>
        <vt:lpwstr/>
      </vt:variant>
      <vt:variant>
        <vt:i4>4653130</vt:i4>
      </vt:variant>
      <vt:variant>
        <vt:i4>18</vt:i4>
      </vt:variant>
      <vt:variant>
        <vt:i4>0</vt:i4>
      </vt:variant>
      <vt:variant>
        <vt:i4>5</vt:i4>
      </vt:variant>
      <vt:variant>
        <vt:lpwstr>https://www.finder.com.au/broadband-plans</vt:lpwstr>
      </vt:variant>
      <vt:variant>
        <vt:lpwstr/>
      </vt:variant>
      <vt:variant>
        <vt:i4>2883698</vt:i4>
      </vt:variant>
      <vt:variant>
        <vt:i4>15</vt:i4>
      </vt:variant>
      <vt:variant>
        <vt:i4>0</vt:i4>
      </vt:variant>
      <vt:variant>
        <vt:i4>5</vt:i4>
      </vt:variant>
      <vt:variant>
        <vt:lpwstr>https://www.canstarblue.com.au/phone/average-mobile-phone-bill/</vt:lpwstr>
      </vt:variant>
      <vt:variant>
        <vt:lpwstr/>
      </vt:variant>
      <vt:variant>
        <vt:i4>4259856</vt:i4>
      </vt:variant>
      <vt:variant>
        <vt:i4>12</vt:i4>
      </vt:variant>
      <vt:variant>
        <vt:i4>0</vt:i4>
      </vt:variant>
      <vt:variant>
        <vt:i4>5</vt:i4>
      </vt:variant>
      <vt:variant>
        <vt:lpwstr>https://canberra.com.au/live/moving-to-canberra/cost-of-living/</vt:lpwstr>
      </vt:variant>
      <vt:variant>
        <vt:lpwstr>:~:text=Utilities,as%20galleries%2C%20libraries%20and%20cafes.</vt:lpwstr>
      </vt:variant>
      <vt:variant>
        <vt:i4>3342375</vt:i4>
      </vt:variant>
      <vt:variant>
        <vt:i4>9</vt:i4>
      </vt:variant>
      <vt:variant>
        <vt:i4>0</vt:i4>
      </vt:variant>
      <vt:variant>
        <vt:i4>5</vt:i4>
      </vt:variant>
      <vt:variant>
        <vt:lpwstr>https://sqmresearch.com.au/weekly-rents.php?region=act-Canberra&amp;type=c&amp;t=1</vt:lpwstr>
      </vt:variant>
      <vt:variant>
        <vt:lpwstr/>
      </vt:variant>
      <vt:variant>
        <vt:i4>1900546</vt:i4>
      </vt:variant>
      <vt:variant>
        <vt:i4>6</vt:i4>
      </vt:variant>
      <vt:variant>
        <vt:i4>0</vt:i4>
      </vt:variant>
      <vt:variant>
        <vt:i4>5</vt:i4>
      </vt:variant>
      <vt:variant>
        <vt:lpwstr>https://www.advocacyforinclusion.org/wp-content/uploads/2022/10/White-Paper-Housing-12-October-2022-FINAL.pdf</vt:lpwstr>
      </vt:variant>
      <vt:variant>
        <vt:lpwstr/>
      </vt:variant>
      <vt:variant>
        <vt:i4>6488121</vt:i4>
      </vt:variant>
      <vt:variant>
        <vt:i4>3</vt:i4>
      </vt:variant>
      <vt:variant>
        <vt:i4>0</vt:i4>
      </vt:variant>
      <vt:variant>
        <vt:i4>5</vt:i4>
      </vt:variant>
      <vt:variant>
        <vt:lpwstr>https://www.advocacyforinclusion.org/wp-content/uploads/2022/10/White-Paper-Income-Support-Sept-2022-1.pdf</vt:lpwstr>
      </vt:variant>
      <vt:variant>
        <vt:lpwstr/>
      </vt:variant>
      <vt:variant>
        <vt:i4>7340061</vt:i4>
      </vt:variant>
      <vt:variant>
        <vt:i4>0</vt:i4>
      </vt:variant>
      <vt:variant>
        <vt:i4>0</vt:i4>
      </vt:variant>
      <vt:variant>
        <vt:i4>5</vt:i4>
      </vt:variant>
      <vt:variant>
        <vt:lpwstr>mailto:community.affairs.sen@aph.gov.au</vt:lpwstr>
      </vt:variant>
      <vt:variant>
        <vt:lpwstr/>
      </vt:variant>
      <vt:variant>
        <vt:i4>1507401</vt:i4>
      </vt:variant>
      <vt:variant>
        <vt:i4>15</vt:i4>
      </vt:variant>
      <vt:variant>
        <vt:i4>0</vt:i4>
      </vt:variant>
      <vt:variant>
        <vt:i4>5</vt:i4>
      </vt:variant>
      <vt:variant>
        <vt:lpwstr>https://www.anglicare.asn.au/wp-content/uploads/2022/04/Rental-Affordability-Snapshot-National-report.pdf</vt:lpwstr>
      </vt:variant>
      <vt:variant>
        <vt:lpwstr/>
      </vt:variant>
      <vt:variant>
        <vt:i4>4194337</vt:i4>
      </vt:variant>
      <vt:variant>
        <vt:i4>12</vt:i4>
      </vt:variant>
      <vt:variant>
        <vt:i4>0</vt:i4>
      </vt:variant>
      <vt:variant>
        <vt:i4>5</vt:i4>
      </vt:variant>
      <vt:variant>
        <vt:lpwstr>https://www.pc.gov.au/ongoing/report-on-government-services/2023/housing-and-homelessness?utm_source=twitter&amp;utm_medium=organic&amp;utm_campaign=mcm_social&amp;utm_id=rogs_2023_housing</vt:lpwstr>
      </vt:variant>
      <vt:variant>
        <vt:lpwstr/>
      </vt:variant>
      <vt:variant>
        <vt:i4>5701727</vt:i4>
      </vt:variant>
      <vt:variant>
        <vt:i4>9</vt:i4>
      </vt:variant>
      <vt:variant>
        <vt:i4>0</vt:i4>
      </vt:variant>
      <vt:variant>
        <vt:i4>5</vt:i4>
      </vt:variant>
      <vt:variant>
        <vt:lpwstr>https://www.actcoss.org.au/sites/default/files/public/publications/2022-report-ACT-Cost-of-Living.pdf</vt:lpwstr>
      </vt:variant>
      <vt:variant>
        <vt:lpwstr/>
      </vt:variant>
      <vt:variant>
        <vt:i4>5505110</vt:i4>
      </vt:variant>
      <vt:variant>
        <vt:i4>6</vt:i4>
      </vt:variant>
      <vt:variant>
        <vt:i4>0</vt:i4>
      </vt:variant>
      <vt:variant>
        <vt:i4>5</vt:i4>
      </vt:variant>
      <vt:variant>
        <vt:lpwstr>https://www.pc.gov.au/ongoing/report-on-government-services/2023/health/primary-and-community-health/rogs-2023-parte-section10-primary-and-community-health-data-tables.xlsx</vt:lpwstr>
      </vt:variant>
      <vt:variant>
        <vt:lpwstr/>
      </vt:variant>
      <vt:variant>
        <vt:i4>5308441</vt:i4>
      </vt:variant>
      <vt:variant>
        <vt:i4>3</vt:i4>
      </vt:variant>
      <vt:variant>
        <vt:i4>0</vt:i4>
      </vt:variant>
      <vt:variant>
        <vt:i4>5</vt:i4>
      </vt:variant>
      <vt:variant>
        <vt:lpwstr>https://assets.nationbuilder.com/betterrenting/pages/345/attachments/original/1661403951/Cold_and_costly_-_Winter_Renter_Researchers.pdf?1661403951</vt:lpwstr>
      </vt:variant>
      <vt:variant>
        <vt:lpwstr/>
      </vt:variant>
      <vt:variant>
        <vt:i4>5701727</vt:i4>
      </vt:variant>
      <vt:variant>
        <vt:i4>0</vt:i4>
      </vt:variant>
      <vt:variant>
        <vt:i4>0</vt:i4>
      </vt:variant>
      <vt:variant>
        <vt:i4>5</vt:i4>
      </vt:variant>
      <vt:variant>
        <vt:lpwstr>https://www.actcoss.org.au/sites/default/files/public/publications/2022-report-ACT-Cost-of-Living.pdf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Luetjens</dc:creator>
  <cp:keywords/>
  <dc:description/>
  <cp:lastModifiedBy>Craig Wallace</cp:lastModifiedBy>
  <cp:revision>29</cp:revision>
  <dcterms:created xsi:type="dcterms:W3CDTF">2023-01-20T13:40:00Z</dcterms:created>
  <dcterms:modified xsi:type="dcterms:W3CDTF">2023-02-03T05:43:00Z</dcterms:modified>
</cp:coreProperties>
</file>