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452F" w14:textId="7C6387FB" w:rsidR="00D23B41" w:rsidRPr="00BB38A7" w:rsidRDefault="00725766">
      <w:pPr>
        <w:rPr>
          <w:b/>
          <w:bCs/>
          <w:lang w:val="en-US"/>
        </w:rPr>
      </w:pPr>
      <w:r>
        <w:rPr>
          <w:b/>
          <w:bCs/>
          <w:lang w:val="en-US"/>
        </w:rPr>
        <w:t xml:space="preserve">Advocacy for Inclusion </w:t>
      </w:r>
      <w:r w:rsidR="003C0B9A" w:rsidRPr="00BB38A7">
        <w:rPr>
          <w:b/>
          <w:bCs/>
          <w:lang w:val="en-US"/>
        </w:rPr>
        <w:t>–</w:t>
      </w:r>
      <w:r>
        <w:rPr>
          <w:b/>
          <w:bCs/>
          <w:lang w:val="en-US"/>
        </w:rPr>
        <w:t xml:space="preserve"> </w:t>
      </w:r>
      <w:r w:rsidR="00BB38A7" w:rsidRPr="00BB38A7">
        <w:rPr>
          <w:b/>
          <w:bCs/>
          <w:lang w:val="en-US"/>
        </w:rPr>
        <w:t xml:space="preserve">Funding priorities for disability – ACT 2023/24 Budget </w:t>
      </w:r>
      <w:r w:rsidR="008377D9">
        <w:rPr>
          <w:b/>
          <w:bCs/>
          <w:lang w:val="en-US"/>
        </w:rPr>
        <w:t xml:space="preserve">Submission </w:t>
      </w:r>
    </w:p>
    <w:tbl>
      <w:tblPr>
        <w:tblStyle w:val="TableGrid"/>
        <w:tblW w:w="0" w:type="auto"/>
        <w:tblLook w:val="04A0" w:firstRow="1" w:lastRow="0" w:firstColumn="1" w:lastColumn="0" w:noHBand="0" w:noVBand="1"/>
      </w:tblPr>
      <w:tblGrid>
        <w:gridCol w:w="2766"/>
        <w:gridCol w:w="2785"/>
        <w:gridCol w:w="4225"/>
        <w:gridCol w:w="4111"/>
      </w:tblGrid>
      <w:tr w:rsidR="00670A9E" w:rsidRPr="00E758F1" w14:paraId="3F867845" w14:textId="79E935C9" w:rsidTr="5DFCCB07">
        <w:trPr>
          <w:tblHeader/>
        </w:trPr>
        <w:tc>
          <w:tcPr>
            <w:tcW w:w="2766" w:type="dxa"/>
            <w:shd w:val="clear" w:color="auto" w:fill="DEEAF6" w:themeFill="accent5" w:themeFillTint="33"/>
          </w:tcPr>
          <w:p w14:paraId="0CC0F57B" w14:textId="066CA544" w:rsidR="00670A9E" w:rsidRPr="00E758F1" w:rsidRDefault="00670A9E">
            <w:pPr>
              <w:rPr>
                <w:b/>
                <w:bCs/>
                <w:lang w:val="en-US"/>
              </w:rPr>
            </w:pPr>
            <w:r w:rsidRPr="00E758F1">
              <w:rPr>
                <w:b/>
                <w:bCs/>
                <w:lang w:val="en-US"/>
              </w:rPr>
              <w:t>Funding area</w:t>
            </w:r>
          </w:p>
        </w:tc>
        <w:tc>
          <w:tcPr>
            <w:tcW w:w="2785" w:type="dxa"/>
            <w:shd w:val="clear" w:color="auto" w:fill="DEEAF6" w:themeFill="accent5" w:themeFillTint="33"/>
          </w:tcPr>
          <w:p w14:paraId="619624F5" w14:textId="3341BBAC" w:rsidR="00670A9E" w:rsidRPr="00E758F1" w:rsidRDefault="00670A9E">
            <w:pPr>
              <w:rPr>
                <w:b/>
                <w:bCs/>
                <w:lang w:val="en-US"/>
              </w:rPr>
            </w:pPr>
            <w:r w:rsidRPr="00E758F1">
              <w:rPr>
                <w:b/>
                <w:bCs/>
                <w:lang w:val="en-US"/>
              </w:rPr>
              <w:t>Initiative</w:t>
            </w:r>
          </w:p>
        </w:tc>
        <w:tc>
          <w:tcPr>
            <w:tcW w:w="4225" w:type="dxa"/>
            <w:shd w:val="clear" w:color="auto" w:fill="DEEAF6" w:themeFill="accent5" w:themeFillTint="33"/>
          </w:tcPr>
          <w:p w14:paraId="5814AA76" w14:textId="3CA1D6CE" w:rsidR="00670A9E" w:rsidRPr="00E758F1" w:rsidRDefault="00670A9E">
            <w:pPr>
              <w:rPr>
                <w:b/>
                <w:bCs/>
                <w:lang w:val="en-US"/>
              </w:rPr>
            </w:pPr>
            <w:r w:rsidRPr="00E758F1">
              <w:rPr>
                <w:b/>
                <w:bCs/>
                <w:lang w:val="en-US"/>
              </w:rPr>
              <w:t>Description/details</w:t>
            </w:r>
          </w:p>
        </w:tc>
        <w:tc>
          <w:tcPr>
            <w:tcW w:w="4111" w:type="dxa"/>
            <w:shd w:val="clear" w:color="auto" w:fill="DEEAF6" w:themeFill="accent5" w:themeFillTint="33"/>
          </w:tcPr>
          <w:p w14:paraId="2BDC5A71" w14:textId="01CC9E6C" w:rsidR="00670A9E" w:rsidRPr="00E758F1" w:rsidRDefault="00670A9E">
            <w:pPr>
              <w:rPr>
                <w:b/>
                <w:bCs/>
                <w:lang w:val="en-US"/>
              </w:rPr>
            </w:pPr>
            <w:r w:rsidRPr="00E758F1">
              <w:rPr>
                <w:b/>
                <w:bCs/>
                <w:lang w:val="en-US"/>
              </w:rPr>
              <w:t xml:space="preserve">Evidence of need/rationale </w:t>
            </w:r>
          </w:p>
        </w:tc>
      </w:tr>
      <w:tr w:rsidR="00F31CB9" w14:paraId="7418045B" w14:textId="4CA6FE48" w:rsidTr="5DFCCB07">
        <w:tc>
          <w:tcPr>
            <w:tcW w:w="2766" w:type="dxa"/>
            <w:vMerge w:val="restart"/>
          </w:tcPr>
          <w:p w14:paraId="10EEEA72" w14:textId="77777777" w:rsidR="00F31CB9" w:rsidRDefault="00F31CB9">
            <w:pPr>
              <w:rPr>
                <w:b/>
                <w:bCs/>
                <w:lang w:val="en-US"/>
              </w:rPr>
            </w:pPr>
            <w:r w:rsidRPr="00BB38A7">
              <w:rPr>
                <w:b/>
                <w:bCs/>
                <w:lang w:val="en-US"/>
              </w:rPr>
              <w:t xml:space="preserve">ACT Disability Strategy </w:t>
            </w:r>
            <w:r w:rsidRPr="00BB38A7">
              <w:rPr>
                <w:b/>
                <w:bCs/>
                <w:lang w:val="en-US"/>
              </w:rPr>
              <w:tab/>
            </w:r>
          </w:p>
          <w:p w14:paraId="233F5311" w14:textId="77777777" w:rsidR="008513E3" w:rsidRDefault="008513E3">
            <w:pPr>
              <w:rPr>
                <w:b/>
                <w:bCs/>
                <w:lang w:val="en-US"/>
              </w:rPr>
            </w:pPr>
          </w:p>
          <w:p w14:paraId="3DD48B4C" w14:textId="77777777" w:rsidR="00E408B5" w:rsidRDefault="008513E3">
            <w:pPr>
              <w:rPr>
                <w:i/>
                <w:iCs/>
                <w:lang w:val="en-US"/>
              </w:rPr>
            </w:pPr>
            <w:r w:rsidRPr="008513E3">
              <w:rPr>
                <w:i/>
                <w:iCs/>
                <w:lang w:val="en-US"/>
              </w:rPr>
              <w:t xml:space="preserve">A funding package to deliver, monitor and implement the ACT Disability Strategy – the ACT’s commitment to Australia’s Disability Strategy and to meet obligations under CRPD. </w:t>
            </w:r>
          </w:p>
          <w:p w14:paraId="38C4EA94" w14:textId="77777777" w:rsidR="00E408B5" w:rsidRDefault="00E408B5">
            <w:pPr>
              <w:rPr>
                <w:i/>
                <w:iCs/>
                <w:lang w:val="en-US"/>
              </w:rPr>
            </w:pPr>
          </w:p>
          <w:p w14:paraId="04C4B7FC" w14:textId="52EB91FA" w:rsidR="00F20CB6" w:rsidRPr="0002005E" w:rsidRDefault="00F20CB6">
            <w:pPr>
              <w:rPr>
                <w:sz w:val="20"/>
                <w:szCs w:val="20"/>
                <w:lang w:val="en-US"/>
              </w:rPr>
            </w:pPr>
            <w:r w:rsidRPr="0002005E">
              <w:rPr>
                <w:sz w:val="20"/>
                <w:szCs w:val="20"/>
                <w:lang w:val="en-US"/>
              </w:rPr>
              <w:t xml:space="preserve">Supports delivery of outcomes under Wellbeing Indicator </w:t>
            </w:r>
            <w:hyperlink r:id="rId10" w:history="1">
              <w:r w:rsidR="00204B70" w:rsidRPr="00083635">
                <w:rPr>
                  <w:rStyle w:val="Hyperlink"/>
                  <w:sz w:val="20"/>
                  <w:szCs w:val="20"/>
                  <w:lang w:val="en-US"/>
                </w:rPr>
                <w:t>Human rights</w:t>
              </w:r>
            </w:hyperlink>
            <w:r w:rsidR="00204B70">
              <w:rPr>
                <w:sz w:val="20"/>
                <w:szCs w:val="20"/>
                <w:lang w:val="en-US"/>
              </w:rPr>
              <w:t>,</w:t>
            </w:r>
            <w:r w:rsidR="00122F2F">
              <w:rPr>
                <w:sz w:val="20"/>
                <w:szCs w:val="20"/>
                <w:lang w:val="en-US"/>
              </w:rPr>
              <w:t xml:space="preserve"> </w:t>
            </w:r>
            <w:hyperlink r:id="rId11" w:history="1">
              <w:r w:rsidR="00122F2F" w:rsidRPr="001C1271">
                <w:rPr>
                  <w:rStyle w:val="Hyperlink"/>
                  <w:sz w:val="20"/>
                  <w:szCs w:val="20"/>
                  <w:lang w:val="en-US"/>
                </w:rPr>
                <w:t>Employment</w:t>
              </w:r>
            </w:hyperlink>
            <w:r w:rsidR="00122F2F">
              <w:rPr>
                <w:sz w:val="20"/>
                <w:szCs w:val="20"/>
                <w:lang w:val="en-US"/>
              </w:rPr>
              <w:t>,</w:t>
            </w:r>
            <w:r w:rsidR="00497160">
              <w:rPr>
                <w:sz w:val="20"/>
                <w:szCs w:val="20"/>
                <w:lang w:val="en-US"/>
              </w:rPr>
              <w:t xml:space="preserve"> </w:t>
            </w:r>
            <w:hyperlink r:id="rId12" w:history="1">
              <w:r w:rsidR="00497160" w:rsidRPr="005A0DFE">
                <w:rPr>
                  <w:rStyle w:val="Hyperlink"/>
                  <w:sz w:val="20"/>
                  <w:szCs w:val="20"/>
                  <w:lang w:val="en-US"/>
                </w:rPr>
                <w:t>Living standards</w:t>
              </w:r>
            </w:hyperlink>
            <w:r w:rsidR="00497160">
              <w:rPr>
                <w:sz w:val="20"/>
                <w:szCs w:val="20"/>
                <w:lang w:val="en-US"/>
              </w:rPr>
              <w:t>, and</w:t>
            </w:r>
            <w:r w:rsidR="00204B70">
              <w:rPr>
                <w:sz w:val="20"/>
                <w:szCs w:val="20"/>
                <w:lang w:val="en-US"/>
              </w:rPr>
              <w:t xml:space="preserve"> </w:t>
            </w:r>
            <w:hyperlink r:id="rId13" w:history="1">
              <w:r w:rsidR="00204B70" w:rsidRPr="00536212">
                <w:rPr>
                  <w:rStyle w:val="Hyperlink"/>
                  <w:sz w:val="20"/>
                  <w:szCs w:val="20"/>
                  <w:lang w:val="en-US"/>
                </w:rPr>
                <w:t>Sense of belonging and inclusion</w:t>
              </w:r>
            </w:hyperlink>
          </w:p>
          <w:p w14:paraId="7E19F0A6" w14:textId="77777777" w:rsidR="00F20CB6" w:rsidRPr="0002005E" w:rsidRDefault="00F20CB6">
            <w:pPr>
              <w:rPr>
                <w:i/>
                <w:iCs/>
                <w:sz w:val="20"/>
                <w:szCs w:val="20"/>
                <w:lang w:val="en-US"/>
              </w:rPr>
            </w:pPr>
          </w:p>
          <w:p w14:paraId="24C0B307" w14:textId="0AF42294" w:rsidR="008513E3" w:rsidRPr="008513E3" w:rsidRDefault="007727F2">
            <w:pPr>
              <w:rPr>
                <w:i/>
                <w:iCs/>
                <w:lang w:val="en-US"/>
              </w:rPr>
            </w:pPr>
            <w:r w:rsidRPr="0002005E">
              <w:rPr>
                <w:sz w:val="20"/>
                <w:szCs w:val="20"/>
                <w:lang w:val="en-US"/>
              </w:rPr>
              <w:t xml:space="preserve">Enables compliance with CRPD </w:t>
            </w:r>
            <w:hyperlink r:id="rId14" w:history="1">
              <w:r w:rsidRPr="00B62547">
                <w:rPr>
                  <w:rStyle w:val="Hyperlink"/>
                  <w:sz w:val="20"/>
                  <w:szCs w:val="20"/>
                  <w:lang w:val="en-US"/>
                </w:rPr>
                <w:t xml:space="preserve">Article </w:t>
              </w:r>
              <w:r w:rsidR="00FB687F" w:rsidRPr="00B62547">
                <w:rPr>
                  <w:rStyle w:val="Hyperlink"/>
                  <w:sz w:val="20"/>
                  <w:szCs w:val="20"/>
                  <w:lang w:val="en-US"/>
                </w:rPr>
                <w:t>3 – General Principles</w:t>
              </w:r>
            </w:hyperlink>
            <w:r w:rsidR="00FB687F">
              <w:rPr>
                <w:sz w:val="20"/>
                <w:szCs w:val="20"/>
                <w:lang w:val="en-US"/>
              </w:rPr>
              <w:t xml:space="preserve"> and </w:t>
            </w:r>
            <w:hyperlink r:id="rId15" w:history="1">
              <w:r w:rsidR="00FB687F" w:rsidRPr="00B62547">
                <w:rPr>
                  <w:rStyle w:val="Hyperlink"/>
                  <w:sz w:val="20"/>
                  <w:szCs w:val="20"/>
                  <w:lang w:val="en-US"/>
                </w:rPr>
                <w:t>Article 4 – General Obligation</w:t>
              </w:r>
              <w:r w:rsidR="00B62547" w:rsidRPr="00B62547">
                <w:rPr>
                  <w:rStyle w:val="Hyperlink"/>
                  <w:sz w:val="20"/>
                  <w:szCs w:val="20"/>
                  <w:lang w:val="en-US"/>
                </w:rPr>
                <w:t>s</w:t>
              </w:r>
            </w:hyperlink>
          </w:p>
        </w:tc>
        <w:tc>
          <w:tcPr>
            <w:tcW w:w="2785" w:type="dxa"/>
          </w:tcPr>
          <w:p w14:paraId="0FA0E3B8" w14:textId="4184670A" w:rsidR="00F31CB9" w:rsidRDefault="00F31CB9">
            <w:pPr>
              <w:rPr>
                <w:lang w:val="en-US"/>
              </w:rPr>
            </w:pPr>
            <w:r>
              <w:rPr>
                <w:lang w:val="en-US"/>
              </w:rPr>
              <w:t xml:space="preserve">Funding to oversight and monitor the Strategy </w:t>
            </w:r>
          </w:p>
        </w:tc>
        <w:tc>
          <w:tcPr>
            <w:tcW w:w="4225" w:type="dxa"/>
          </w:tcPr>
          <w:p w14:paraId="351D0FA9" w14:textId="77777777" w:rsidR="00B8780C" w:rsidRPr="00BB38A7" w:rsidRDefault="00F31CB9" w:rsidP="00B8780C">
            <w:pPr>
              <w:rPr>
                <w:lang w:val="en-US"/>
              </w:rPr>
            </w:pPr>
            <w:r>
              <w:rPr>
                <w:lang w:val="en-US"/>
              </w:rPr>
              <w:t>A</w:t>
            </w:r>
            <w:r w:rsidRPr="00BB38A7">
              <w:rPr>
                <w:lang w:val="en-US"/>
              </w:rPr>
              <w:t xml:space="preserve">dequate funding to </w:t>
            </w:r>
            <w:r w:rsidR="00B8780C" w:rsidRPr="00BB38A7">
              <w:rPr>
                <w:lang w:val="en-US"/>
              </w:rPr>
              <w:t xml:space="preserve">the ACT Office </w:t>
            </w:r>
          </w:p>
          <w:p w14:paraId="5E835ADB" w14:textId="4F9FD51B" w:rsidR="00F31CB9" w:rsidRDefault="00B8780C" w:rsidP="00BB38A7">
            <w:pPr>
              <w:rPr>
                <w:lang w:val="en-US"/>
              </w:rPr>
            </w:pPr>
            <w:r w:rsidRPr="00BB38A7">
              <w:rPr>
                <w:lang w:val="en-US"/>
              </w:rPr>
              <w:t xml:space="preserve">for Disability </w:t>
            </w:r>
            <w:r>
              <w:rPr>
                <w:lang w:val="en-US"/>
              </w:rPr>
              <w:t xml:space="preserve">and </w:t>
            </w:r>
            <w:r w:rsidR="00F31CB9" w:rsidRPr="00BB38A7">
              <w:rPr>
                <w:lang w:val="en-US"/>
              </w:rPr>
              <w:t xml:space="preserve">Disabled Persons Organisations to deliver and monitor the Strategy </w:t>
            </w:r>
            <w:r w:rsidR="00716533">
              <w:rPr>
                <w:lang w:val="en-US"/>
              </w:rPr>
              <w:t>including:</w:t>
            </w:r>
          </w:p>
          <w:p w14:paraId="1F86C250" w14:textId="04BAE994" w:rsidR="00716533" w:rsidRPr="00716533" w:rsidRDefault="00716533" w:rsidP="00716533">
            <w:pPr>
              <w:rPr>
                <w:lang w:val="en-US"/>
              </w:rPr>
            </w:pPr>
            <w:r w:rsidRPr="0022084F">
              <w:rPr>
                <w:u w:val="single"/>
                <w:lang w:val="en-US"/>
              </w:rPr>
              <w:t>Oversight Group</w:t>
            </w:r>
            <w:r w:rsidRPr="00716533">
              <w:rPr>
                <w:lang w:val="en-US"/>
              </w:rPr>
              <w:t xml:space="preserve"> </w:t>
            </w:r>
            <w:r w:rsidR="00A66E31">
              <w:rPr>
                <w:lang w:val="en-US"/>
              </w:rPr>
              <w:t>- with</w:t>
            </w:r>
            <w:r w:rsidRPr="00716533">
              <w:rPr>
                <w:lang w:val="en-US"/>
              </w:rPr>
              <w:t xml:space="preserve"> an oversight, monitoring and evaluation function. </w:t>
            </w:r>
          </w:p>
          <w:p w14:paraId="353E859B" w14:textId="5C4FA0ED" w:rsidR="00716533" w:rsidRPr="00716533" w:rsidRDefault="00716533" w:rsidP="00716533">
            <w:pPr>
              <w:rPr>
                <w:lang w:val="en-US"/>
              </w:rPr>
            </w:pPr>
            <w:r w:rsidRPr="0022084F">
              <w:rPr>
                <w:u w:val="single"/>
                <w:lang w:val="en-US"/>
              </w:rPr>
              <w:t>Taskforce or champions group</w:t>
            </w:r>
            <w:r w:rsidRPr="00716533">
              <w:rPr>
                <w:lang w:val="en-US"/>
              </w:rPr>
              <w:t xml:space="preserve"> </w:t>
            </w:r>
            <w:r w:rsidR="00A66E31">
              <w:rPr>
                <w:lang w:val="en-US"/>
              </w:rPr>
              <w:t>-</w:t>
            </w:r>
            <w:r w:rsidRPr="00716533">
              <w:rPr>
                <w:lang w:val="en-US"/>
              </w:rPr>
              <w:t xml:space="preserve"> responsible for promoting implementation and uptake of the strategy. </w:t>
            </w:r>
          </w:p>
          <w:p w14:paraId="277722DE" w14:textId="46ADEFAC" w:rsidR="00716533" w:rsidRDefault="00716533" w:rsidP="00716533">
            <w:pPr>
              <w:rPr>
                <w:lang w:val="en-US"/>
              </w:rPr>
            </w:pPr>
            <w:r w:rsidRPr="0022084F">
              <w:rPr>
                <w:u w:val="single"/>
                <w:lang w:val="en-US"/>
              </w:rPr>
              <w:t>Deliberative panel</w:t>
            </w:r>
            <w:r w:rsidRPr="00716533">
              <w:rPr>
                <w:lang w:val="en-US"/>
              </w:rPr>
              <w:t xml:space="preserve"> </w:t>
            </w:r>
            <w:r w:rsidR="00A66E31">
              <w:rPr>
                <w:lang w:val="en-US"/>
              </w:rPr>
              <w:t>- Your</w:t>
            </w:r>
            <w:r w:rsidR="001A71FC">
              <w:rPr>
                <w:lang w:val="en-US"/>
              </w:rPr>
              <w:t>Sa</w:t>
            </w:r>
            <w:r w:rsidR="00A66E31">
              <w:rPr>
                <w:lang w:val="en-US"/>
              </w:rPr>
              <w:t xml:space="preserve">y style panel </w:t>
            </w:r>
            <w:r w:rsidR="0040521F">
              <w:rPr>
                <w:lang w:val="en-US"/>
              </w:rPr>
              <w:t>to deliver feedback on change experienced on the ground</w:t>
            </w:r>
            <w:r w:rsidR="009673EE">
              <w:rPr>
                <w:lang w:val="en-US"/>
              </w:rPr>
              <w:t xml:space="preserve"> across the life of the Strategy</w:t>
            </w:r>
            <w:r w:rsidR="0040521F">
              <w:rPr>
                <w:lang w:val="en-US"/>
              </w:rPr>
              <w:t xml:space="preserve">.  </w:t>
            </w:r>
          </w:p>
          <w:p w14:paraId="2A4CCAF5" w14:textId="721F9DE0" w:rsidR="00F31CB9" w:rsidRDefault="00F31CB9" w:rsidP="00BB38A7">
            <w:pPr>
              <w:rPr>
                <w:lang w:val="en-US"/>
              </w:rPr>
            </w:pPr>
          </w:p>
        </w:tc>
        <w:tc>
          <w:tcPr>
            <w:tcW w:w="4111" w:type="dxa"/>
          </w:tcPr>
          <w:p w14:paraId="5F12ECEC" w14:textId="6A245CB4" w:rsidR="00F31CB9" w:rsidRPr="00BF6A0F" w:rsidRDefault="002C3D07" w:rsidP="00BF6A0F">
            <w:pPr>
              <w:spacing w:after="160" w:line="259" w:lineRule="auto"/>
            </w:pPr>
            <w:hyperlink r:id="rId16" w:history="1">
              <w:r w:rsidR="00BF6A0F" w:rsidRPr="00344625">
                <w:rPr>
                  <w:rStyle w:val="Hyperlink"/>
                  <w:i/>
                  <w:iCs/>
                </w:rPr>
                <w:t>Counting the Costs: Sustainable funding for the ACT community services sector</w:t>
              </w:r>
            </w:hyperlink>
            <w:r w:rsidR="00BF6A0F">
              <w:rPr>
                <w:i/>
                <w:iCs/>
              </w:rPr>
              <w:t xml:space="preserve"> </w:t>
            </w:r>
            <w:r w:rsidR="00BF6A0F">
              <w:t xml:space="preserve">note the resource gaps emerging within community organisations as a consequence of funding. A particular concern centred on the lack of funds to support monitoring and evaluation of programs. In response, the ACT </w:t>
            </w:r>
            <w:r w:rsidR="00DA5483">
              <w:t xml:space="preserve">government </w:t>
            </w:r>
            <w:r w:rsidR="00BF6A0F">
              <w:t>proposed mov</w:t>
            </w:r>
            <w:r w:rsidR="00DA5483">
              <w:t>ing</w:t>
            </w:r>
            <w:r w:rsidR="00BF6A0F">
              <w:t xml:space="preserve"> towards </w:t>
            </w:r>
            <w:hyperlink r:id="rId17" w:history="1">
              <w:r w:rsidR="00BF6A0F" w:rsidRPr="00344625">
                <w:rPr>
                  <w:rStyle w:val="Hyperlink"/>
                </w:rPr>
                <w:t>a sustainable resourcing and relationship model</w:t>
              </w:r>
            </w:hyperlink>
            <w:r w:rsidR="00BF6A0F">
              <w:t xml:space="preserve"> with the community sector.</w:t>
            </w:r>
          </w:p>
        </w:tc>
      </w:tr>
      <w:tr w:rsidR="00F31CB9" w14:paraId="2F65938B" w14:textId="71DACA93" w:rsidTr="00EE6066">
        <w:tc>
          <w:tcPr>
            <w:tcW w:w="2766" w:type="dxa"/>
            <w:vMerge/>
            <w:tcBorders>
              <w:bottom w:val="single" w:sz="4" w:space="0" w:color="auto"/>
            </w:tcBorders>
          </w:tcPr>
          <w:p w14:paraId="586C031B" w14:textId="77777777" w:rsidR="00F31CB9" w:rsidRDefault="00F31CB9">
            <w:pPr>
              <w:rPr>
                <w:lang w:val="en-US"/>
              </w:rPr>
            </w:pPr>
          </w:p>
        </w:tc>
        <w:tc>
          <w:tcPr>
            <w:tcW w:w="2785" w:type="dxa"/>
            <w:tcBorders>
              <w:bottom w:val="single" w:sz="4" w:space="0" w:color="auto"/>
            </w:tcBorders>
          </w:tcPr>
          <w:p w14:paraId="42BFF9F3" w14:textId="29B14EBC" w:rsidR="00F31CB9" w:rsidRDefault="00F31CB9">
            <w:pPr>
              <w:rPr>
                <w:lang w:val="en-US"/>
              </w:rPr>
            </w:pPr>
            <w:r>
              <w:rPr>
                <w:lang w:val="en-US"/>
              </w:rPr>
              <w:t>ACT D</w:t>
            </w:r>
            <w:r w:rsidR="002C3D07">
              <w:rPr>
                <w:lang w:val="en-US"/>
              </w:rPr>
              <w:t>isability Strategy</w:t>
            </w:r>
            <w:r>
              <w:rPr>
                <w:lang w:val="en-US"/>
              </w:rPr>
              <w:t xml:space="preserve"> signature measures (selected from measures below) </w:t>
            </w:r>
          </w:p>
        </w:tc>
        <w:tc>
          <w:tcPr>
            <w:tcW w:w="4225" w:type="dxa"/>
            <w:tcBorders>
              <w:bottom w:val="single" w:sz="4" w:space="0" w:color="auto"/>
            </w:tcBorders>
          </w:tcPr>
          <w:p w14:paraId="3F39FEAA" w14:textId="493B1E5A" w:rsidR="00F31CB9" w:rsidRPr="00BB38A7" w:rsidRDefault="00F31CB9" w:rsidP="00BB38A7">
            <w:pPr>
              <w:rPr>
                <w:lang w:val="en-US"/>
              </w:rPr>
            </w:pPr>
            <w:r>
              <w:rPr>
                <w:lang w:val="en-US"/>
              </w:rPr>
              <w:t>F</w:t>
            </w:r>
            <w:r w:rsidRPr="00BB38A7">
              <w:rPr>
                <w:lang w:val="en-US"/>
              </w:rPr>
              <w:t xml:space="preserve">unded measures under </w:t>
            </w:r>
          </w:p>
          <w:p w14:paraId="2EEBA37D" w14:textId="77777777" w:rsidR="00F31CB9" w:rsidRPr="00BB38A7" w:rsidRDefault="00F31CB9" w:rsidP="00BB38A7">
            <w:pPr>
              <w:rPr>
                <w:lang w:val="en-US"/>
              </w:rPr>
            </w:pPr>
            <w:r w:rsidRPr="00BB38A7">
              <w:rPr>
                <w:lang w:val="en-US"/>
              </w:rPr>
              <w:t xml:space="preserve">each of the Strategy themes to support the delivery of outcomes identified </w:t>
            </w:r>
          </w:p>
          <w:p w14:paraId="59E4C2A2" w14:textId="7E61D033" w:rsidR="00F31CB9" w:rsidRDefault="00F31CB9" w:rsidP="00BB38A7">
            <w:pPr>
              <w:rPr>
                <w:lang w:val="en-US"/>
              </w:rPr>
            </w:pPr>
            <w:r w:rsidRPr="00BB38A7">
              <w:rPr>
                <w:lang w:val="en-US"/>
              </w:rPr>
              <w:t xml:space="preserve">through the current consultation process </w:t>
            </w:r>
            <w:r>
              <w:rPr>
                <w:lang w:val="en-US"/>
              </w:rPr>
              <w:t xml:space="preserve">(a range of measures </w:t>
            </w:r>
            <w:r w:rsidR="002C3D07">
              <w:rPr>
                <w:lang w:val="en-US"/>
              </w:rPr>
              <w:t xml:space="preserve">are </w:t>
            </w:r>
            <w:r>
              <w:rPr>
                <w:lang w:val="en-US"/>
              </w:rPr>
              <w:t xml:space="preserve">outlined </w:t>
            </w:r>
            <w:r w:rsidR="002C3D07">
              <w:rPr>
                <w:lang w:val="en-US"/>
              </w:rPr>
              <w:t>in this submission</w:t>
            </w:r>
            <w:r>
              <w:rPr>
                <w:lang w:val="en-US"/>
              </w:rPr>
              <w:t>)</w:t>
            </w:r>
          </w:p>
        </w:tc>
        <w:tc>
          <w:tcPr>
            <w:tcW w:w="4111" w:type="dxa"/>
            <w:tcBorders>
              <w:bottom w:val="single" w:sz="4" w:space="0" w:color="auto"/>
            </w:tcBorders>
          </w:tcPr>
          <w:p w14:paraId="19D91645" w14:textId="77777777" w:rsidR="00F31CB9" w:rsidRDefault="007E3230">
            <w:pPr>
              <w:rPr>
                <w:lang w:val="en-US"/>
              </w:rPr>
            </w:pPr>
            <w:r w:rsidRPr="5DFCCB07">
              <w:rPr>
                <w:lang w:val="en-US"/>
              </w:rPr>
              <w:t xml:space="preserve">A funded ACT Disability Strategy </w:t>
            </w:r>
            <w:r w:rsidR="000505E8" w:rsidRPr="5DFCCB07">
              <w:rPr>
                <w:lang w:val="en-US"/>
              </w:rPr>
              <w:t>acknowledges</w:t>
            </w:r>
            <w:r w:rsidRPr="5DFCCB07">
              <w:rPr>
                <w:lang w:val="en-US"/>
              </w:rPr>
              <w:t xml:space="preserve"> gaps in </w:t>
            </w:r>
            <w:r w:rsidR="001C557C" w:rsidRPr="5DFCCB07">
              <w:rPr>
                <w:lang w:val="en-US"/>
              </w:rPr>
              <w:t xml:space="preserve">inclusion, social participation, economic </w:t>
            </w:r>
            <w:r w:rsidR="000505E8" w:rsidRPr="5DFCCB07">
              <w:rPr>
                <w:lang w:val="en-US"/>
              </w:rPr>
              <w:t>participation</w:t>
            </w:r>
            <w:r w:rsidR="001C557C" w:rsidRPr="5DFCCB07">
              <w:rPr>
                <w:lang w:val="en-US"/>
              </w:rPr>
              <w:t xml:space="preserve"> and inclusion outcomes outlined in work such as the </w:t>
            </w:r>
            <w:r w:rsidR="004E45B3">
              <w:rPr>
                <w:lang w:val="en-US"/>
              </w:rPr>
              <w:t xml:space="preserve">Deloitte </w:t>
            </w:r>
            <w:hyperlink r:id="rId18" w:history="1">
              <w:r w:rsidR="001C557C" w:rsidRPr="004E45B3">
                <w:rPr>
                  <w:rStyle w:val="Hyperlink"/>
                  <w:lang w:val="en-US"/>
                </w:rPr>
                <w:t>Business Case for Philanthropy</w:t>
              </w:r>
            </w:hyperlink>
            <w:r w:rsidR="006E28C6" w:rsidRPr="5DFCCB07">
              <w:rPr>
                <w:lang w:val="en-US"/>
              </w:rPr>
              <w:t xml:space="preserve">.  It also supports the ACT Government to improve wellbeing for people with disability </w:t>
            </w:r>
            <w:r w:rsidR="00F7381F" w:rsidRPr="5DFCCB07">
              <w:rPr>
                <w:lang w:val="en-US"/>
              </w:rPr>
              <w:t>in line with the ACT’s wellbeing indicators</w:t>
            </w:r>
            <w:r w:rsidR="002C4C4E">
              <w:rPr>
                <w:lang w:val="en-US"/>
              </w:rPr>
              <w:t>.</w:t>
            </w:r>
          </w:p>
          <w:p w14:paraId="57B5594A" w14:textId="77777777" w:rsidR="008377D9" w:rsidRDefault="008377D9">
            <w:pPr>
              <w:rPr>
                <w:lang w:val="en-US"/>
              </w:rPr>
            </w:pPr>
          </w:p>
          <w:p w14:paraId="28E00CE1" w14:textId="77777777" w:rsidR="008377D9" w:rsidRDefault="008377D9">
            <w:pPr>
              <w:rPr>
                <w:lang w:val="en-US"/>
              </w:rPr>
            </w:pPr>
          </w:p>
          <w:p w14:paraId="56A177BC" w14:textId="77777777" w:rsidR="008377D9" w:rsidRDefault="008377D9">
            <w:pPr>
              <w:rPr>
                <w:lang w:val="en-US"/>
              </w:rPr>
            </w:pPr>
          </w:p>
          <w:p w14:paraId="1267AE6D" w14:textId="77777777" w:rsidR="008377D9" w:rsidRDefault="008377D9">
            <w:pPr>
              <w:rPr>
                <w:lang w:val="en-US"/>
              </w:rPr>
            </w:pPr>
          </w:p>
          <w:p w14:paraId="13EF57AA" w14:textId="77777777" w:rsidR="008377D9" w:rsidRDefault="008377D9">
            <w:pPr>
              <w:rPr>
                <w:lang w:val="en-US"/>
              </w:rPr>
            </w:pPr>
          </w:p>
          <w:p w14:paraId="67E4DF27" w14:textId="77777777" w:rsidR="008377D9" w:rsidRDefault="008377D9">
            <w:pPr>
              <w:rPr>
                <w:lang w:val="en-US"/>
              </w:rPr>
            </w:pPr>
          </w:p>
          <w:p w14:paraId="380B9526" w14:textId="5251D36D" w:rsidR="008377D9" w:rsidRDefault="008377D9">
            <w:pPr>
              <w:rPr>
                <w:lang w:val="en-US"/>
              </w:rPr>
            </w:pPr>
          </w:p>
        </w:tc>
      </w:tr>
      <w:tr w:rsidR="00F31CB9" w14:paraId="689A6819" w14:textId="483A5A71" w:rsidTr="00EE6066">
        <w:tc>
          <w:tcPr>
            <w:tcW w:w="2766" w:type="dxa"/>
            <w:vMerge w:val="restart"/>
            <w:shd w:val="clear" w:color="auto" w:fill="F3F3F3"/>
          </w:tcPr>
          <w:p w14:paraId="245A7BE5" w14:textId="77777777" w:rsidR="00F31CB9" w:rsidRDefault="00F31CB9">
            <w:pPr>
              <w:rPr>
                <w:b/>
                <w:bCs/>
                <w:lang w:val="en-US"/>
              </w:rPr>
            </w:pPr>
            <w:r w:rsidRPr="00BB38A7">
              <w:rPr>
                <w:b/>
                <w:bCs/>
                <w:lang w:val="en-US"/>
              </w:rPr>
              <w:lastRenderedPageBreak/>
              <w:t>ACT Disability Health Strategy</w:t>
            </w:r>
          </w:p>
          <w:p w14:paraId="419F428C" w14:textId="77777777" w:rsidR="008513E3" w:rsidRDefault="008513E3">
            <w:pPr>
              <w:rPr>
                <w:b/>
                <w:bCs/>
                <w:lang w:val="en-US"/>
              </w:rPr>
            </w:pPr>
          </w:p>
          <w:p w14:paraId="684646CA" w14:textId="77777777" w:rsidR="008513E3" w:rsidRDefault="008513E3">
            <w:pPr>
              <w:rPr>
                <w:i/>
                <w:iCs/>
                <w:lang w:val="en-US"/>
              </w:rPr>
            </w:pPr>
            <w:r w:rsidRPr="00167BCE">
              <w:rPr>
                <w:i/>
                <w:iCs/>
                <w:lang w:val="en-US"/>
              </w:rPr>
              <w:t>A funding package to deliver the promised ACT Disability Health Strategy including monitoring, implementation and practical work.  The strategy was a commitment under the Parliamentary and Governing Agreement</w:t>
            </w:r>
          </w:p>
          <w:p w14:paraId="5D06406D" w14:textId="77777777" w:rsidR="00E517F9" w:rsidRDefault="00E517F9">
            <w:pPr>
              <w:rPr>
                <w:i/>
                <w:iCs/>
                <w:lang w:val="en-US"/>
              </w:rPr>
            </w:pPr>
          </w:p>
          <w:p w14:paraId="20BB6D2F" w14:textId="77777777" w:rsidR="00E517F9" w:rsidRDefault="00E517F9" w:rsidP="00E517F9">
            <w:pPr>
              <w:rPr>
                <w:i/>
                <w:iCs/>
                <w:lang w:val="en-US"/>
              </w:rPr>
            </w:pPr>
          </w:p>
          <w:p w14:paraId="5158663C" w14:textId="24C8CE7E" w:rsidR="00E517F9" w:rsidRPr="0002005E" w:rsidRDefault="00E517F9" w:rsidP="00E517F9">
            <w:pPr>
              <w:rPr>
                <w:sz w:val="20"/>
                <w:szCs w:val="20"/>
                <w:lang w:val="en-US"/>
              </w:rPr>
            </w:pPr>
            <w:r w:rsidRPr="0002005E">
              <w:rPr>
                <w:sz w:val="20"/>
                <w:szCs w:val="20"/>
                <w:lang w:val="en-US"/>
              </w:rPr>
              <w:t xml:space="preserve">Supports delivery of outcomes under Wellbeing Indicator </w:t>
            </w:r>
            <w:hyperlink r:id="rId19" w:history="1">
              <w:r w:rsidR="000E1882" w:rsidRPr="00FA3038">
                <w:rPr>
                  <w:rStyle w:val="Hyperlink"/>
                  <w:sz w:val="20"/>
                  <w:szCs w:val="20"/>
                  <w:lang w:val="en-US"/>
                </w:rPr>
                <w:t>Overall health</w:t>
              </w:r>
            </w:hyperlink>
            <w:r w:rsidR="000E1882">
              <w:rPr>
                <w:sz w:val="20"/>
                <w:szCs w:val="20"/>
                <w:lang w:val="en-US"/>
              </w:rPr>
              <w:t xml:space="preserve"> and </w:t>
            </w:r>
            <w:hyperlink r:id="rId20" w:history="1">
              <w:r w:rsidR="000E1882" w:rsidRPr="00FA3038">
                <w:rPr>
                  <w:rStyle w:val="Hyperlink"/>
                  <w:sz w:val="20"/>
                  <w:szCs w:val="20"/>
                  <w:lang w:val="en-US"/>
                </w:rPr>
                <w:t>Access to health services</w:t>
              </w:r>
            </w:hyperlink>
          </w:p>
          <w:p w14:paraId="4756F48C" w14:textId="77777777" w:rsidR="00E517F9" w:rsidRPr="0002005E" w:rsidRDefault="00E517F9" w:rsidP="00E517F9">
            <w:pPr>
              <w:rPr>
                <w:i/>
                <w:iCs/>
                <w:sz w:val="20"/>
                <w:szCs w:val="20"/>
                <w:lang w:val="en-US"/>
              </w:rPr>
            </w:pPr>
          </w:p>
          <w:p w14:paraId="66DA12EF" w14:textId="1F1EDA89" w:rsidR="00E517F9" w:rsidRPr="00167BCE" w:rsidRDefault="00E517F9" w:rsidP="00E517F9">
            <w:pPr>
              <w:rPr>
                <w:i/>
                <w:iCs/>
                <w:lang w:val="en-US"/>
              </w:rPr>
            </w:pPr>
            <w:r w:rsidRPr="0002005E">
              <w:rPr>
                <w:sz w:val="20"/>
                <w:szCs w:val="20"/>
                <w:lang w:val="en-US"/>
              </w:rPr>
              <w:t xml:space="preserve">Enables compliance with CRPD </w:t>
            </w:r>
            <w:hyperlink r:id="rId21" w:history="1">
              <w:r w:rsidRPr="00B610FC">
                <w:rPr>
                  <w:rStyle w:val="Hyperlink"/>
                  <w:sz w:val="20"/>
                  <w:szCs w:val="20"/>
                  <w:lang w:val="en-US"/>
                </w:rPr>
                <w:t>Article</w:t>
              </w:r>
              <w:r w:rsidR="00067E36" w:rsidRPr="00B610FC">
                <w:rPr>
                  <w:rStyle w:val="Hyperlink"/>
                  <w:sz w:val="20"/>
                  <w:szCs w:val="20"/>
                  <w:lang w:val="en-US"/>
                </w:rPr>
                <w:t xml:space="preserve"> 25</w:t>
              </w:r>
              <w:r w:rsidR="00B610FC" w:rsidRPr="00B610FC">
                <w:rPr>
                  <w:rStyle w:val="Hyperlink"/>
                  <w:sz w:val="20"/>
                  <w:szCs w:val="20"/>
                  <w:lang w:val="en-US"/>
                </w:rPr>
                <w:t xml:space="preserve"> – Health</w:t>
              </w:r>
            </w:hyperlink>
            <w:r w:rsidR="00B610FC">
              <w:rPr>
                <w:sz w:val="20"/>
                <w:szCs w:val="20"/>
                <w:lang w:val="en-US"/>
              </w:rPr>
              <w:t xml:space="preserve"> </w:t>
            </w:r>
          </w:p>
        </w:tc>
        <w:tc>
          <w:tcPr>
            <w:tcW w:w="2785" w:type="dxa"/>
            <w:shd w:val="clear" w:color="auto" w:fill="F3F3F3"/>
          </w:tcPr>
          <w:p w14:paraId="57155A0D" w14:textId="42006AE5" w:rsidR="00F31CB9" w:rsidRDefault="00836E40">
            <w:pPr>
              <w:rPr>
                <w:lang w:val="en-US"/>
              </w:rPr>
            </w:pPr>
            <w:r>
              <w:rPr>
                <w:lang w:val="en-US"/>
              </w:rPr>
              <w:t>Social model training package and delivery pilot</w:t>
            </w:r>
          </w:p>
        </w:tc>
        <w:tc>
          <w:tcPr>
            <w:tcW w:w="4225" w:type="dxa"/>
            <w:shd w:val="clear" w:color="auto" w:fill="F3F3F3"/>
          </w:tcPr>
          <w:p w14:paraId="692C8EE5" w14:textId="1F83C3D5" w:rsidR="00F31CB9" w:rsidRDefault="00F7381F">
            <w:pPr>
              <w:rPr>
                <w:lang w:val="en-US"/>
              </w:rPr>
            </w:pPr>
            <w:r>
              <w:rPr>
                <w:lang w:val="en-US"/>
              </w:rPr>
              <w:t xml:space="preserve">Funding </w:t>
            </w:r>
            <w:r w:rsidR="00B11E95">
              <w:rPr>
                <w:lang w:val="en-US"/>
              </w:rPr>
              <w:t>to</w:t>
            </w:r>
            <w:r>
              <w:rPr>
                <w:lang w:val="en-US"/>
              </w:rPr>
              <w:t xml:space="preserve"> support the purchase and delivery of tools and training to increase understanding and application of the social model of disability.  </w:t>
            </w:r>
          </w:p>
        </w:tc>
        <w:tc>
          <w:tcPr>
            <w:tcW w:w="4111" w:type="dxa"/>
            <w:shd w:val="clear" w:color="auto" w:fill="F3F3F3"/>
          </w:tcPr>
          <w:p w14:paraId="15760278" w14:textId="5460B44D" w:rsidR="00572C05" w:rsidRDefault="00572C05" w:rsidP="00C477F6">
            <w:r>
              <w:t xml:space="preserve">The Deloitte Business Case for </w:t>
            </w:r>
            <w:r w:rsidR="00452873">
              <w:t>Philanthropy</w:t>
            </w:r>
            <w:r>
              <w:t xml:space="preserve"> estimates that improved health and wellbeing </w:t>
            </w:r>
            <w:r w:rsidR="00452873">
              <w:t xml:space="preserve">outcomes for people with disability through social inclusion </w:t>
            </w:r>
            <w:r w:rsidR="00C477F6">
              <w:t xml:space="preserve">could bring dividends </w:t>
            </w:r>
            <w:r>
              <w:t>to the equivalent of an additional 251,000 Quality Adjusted Life Years, valued at $57</w:t>
            </w:r>
            <w:r w:rsidR="008377D9">
              <w:t xml:space="preserve"> </w:t>
            </w:r>
            <w:r>
              <w:t>billion annuall</w:t>
            </w:r>
            <w:r w:rsidR="00BD3025">
              <w:t>y</w:t>
            </w:r>
            <w:r w:rsidR="00452873">
              <w:t xml:space="preserve">.  </w:t>
            </w:r>
          </w:p>
          <w:p w14:paraId="2DBC4A91" w14:textId="77777777" w:rsidR="00452873" w:rsidRDefault="00452873" w:rsidP="00C477F6"/>
          <w:p w14:paraId="3B1BFA10" w14:textId="77777777" w:rsidR="00CC6986" w:rsidRDefault="00452873" w:rsidP="00CC6986">
            <w:r>
              <w:t xml:space="preserve">Diversion of </w:t>
            </w:r>
            <w:r w:rsidR="2B73E107">
              <w:t xml:space="preserve">people </w:t>
            </w:r>
            <w:r>
              <w:t xml:space="preserve">with disability from acute care is also a system saver for the health system and NDIS.  </w:t>
            </w:r>
          </w:p>
          <w:p w14:paraId="470C4270" w14:textId="77777777" w:rsidR="00CC6986" w:rsidRDefault="00CC6986" w:rsidP="00CC6986"/>
          <w:p w14:paraId="4FFB9ED0" w14:textId="3B5500CB" w:rsidR="00BF28CA" w:rsidRDefault="00F7381F" w:rsidP="00CC6986">
            <w:r>
              <w:t>Consultations</w:t>
            </w:r>
            <w:r w:rsidR="00BF28CA">
              <w:t xml:space="preserve"> and </w:t>
            </w:r>
            <w:r>
              <w:t>engagements</w:t>
            </w:r>
            <w:r w:rsidR="00BF28CA">
              <w:t xml:space="preserve"> in the development of the Strategy have </w:t>
            </w:r>
            <w:r w:rsidR="005F2117">
              <w:t>indicated that building social model understandings in the medical profession are</w:t>
            </w:r>
            <w:r w:rsidR="00663A07">
              <w:t xml:space="preserve"> going to be complex and difficult.  </w:t>
            </w:r>
          </w:p>
          <w:p w14:paraId="6D72CFCA" w14:textId="631FA4A1" w:rsidR="00F31CB9" w:rsidRPr="000C5A45" w:rsidRDefault="000C5A45" w:rsidP="000C5A45">
            <w:pPr>
              <w:spacing w:after="160"/>
              <w:rPr>
                <w:rFonts w:ascii="Times New Roman" w:hAnsi="Times New Roman" w:cs="Times New Roman"/>
                <w:sz w:val="24"/>
                <w:lang w:eastAsia="en-AU"/>
              </w:rPr>
            </w:pPr>
            <w:r>
              <w:t>The medical model of disability places the ‘problem’ in the person, by viewing disability as an individual impairment to be treated, without acknowledging the environmental and social barriers that reduce independence and choice for people with disability. Conversely, the social model of disability recognises the complex interplay between these barriers and individual</w:t>
            </w:r>
            <w:r>
              <w:rPr>
                <w:rFonts w:ascii="Cambria Math" w:hAnsi="Cambria Math" w:cs="Cambria Math"/>
              </w:rPr>
              <w:t>‐</w:t>
            </w:r>
            <w:r>
              <w:t xml:space="preserve">level biological and psychological factors. It also acknowledges that these barriers can </w:t>
            </w:r>
            <w:hyperlink r:id="rId22" w:history="1">
              <w:r w:rsidRPr="004B1476">
                <w:rPr>
                  <w:rStyle w:val="Hyperlink"/>
                </w:rPr>
                <w:t>reduce health outcomes and health equity</w:t>
              </w:r>
            </w:hyperlink>
            <w:r>
              <w:t xml:space="preserve"> for people with disability.</w:t>
            </w:r>
          </w:p>
        </w:tc>
      </w:tr>
      <w:tr w:rsidR="00F31CB9" w14:paraId="7F9F17D2" w14:textId="4E586C81" w:rsidTr="00EE6066">
        <w:tc>
          <w:tcPr>
            <w:tcW w:w="2766" w:type="dxa"/>
            <w:vMerge/>
            <w:shd w:val="clear" w:color="auto" w:fill="F3F3F3"/>
          </w:tcPr>
          <w:p w14:paraId="069880B2" w14:textId="77777777" w:rsidR="00F31CB9" w:rsidRDefault="00F31CB9">
            <w:pPr>
              <w:rPr>
                <w:lang w:val="en-US"/>
              </w:rPr>
            </w:pPr>
          </w:p>
        </w:tc>
        <w:tc>
          <w:tcPr>
            <w:tcW w:w="2785" w:type="dxa"/>
            <w:shd w:val="clear" w:color="auto" w:fill="F3F3F3"/>
          </w:tcPr>
          <w:p w14:paraId="238DD893" w14:textId="580653D1" w:rsidR="00F31CB9" w:rsidRDefault="00836E40">
            <w:pPr>
              <w:rPr>
                <w:lang w:val="en-US"/>
              </w:rPr>
            </w:pPr>
            <w:r>
              <w:rPr>
                <w:lang w:val="en-US"/>
              </w:rPr>
              <w:t>Diagnostic overshadowing training module</w:t>
            </w:r>
          </w:p>
        </w:tc>
        <w:tc>
          <w:tcPr>
            <w:tcW w:w="4225" w:type="dxa"/>
            <w:shd w:val="clear" w:color="auto" w:fill="F3F3F3"/>
          </w:tcPr>
          <w:p w14:paraId="13BA43D1" w14:textId="77BC504C" w:rsidR="00F31CB9" w:rsidRDefault="00B6105E">
            <w:pPr>
              <w:rPr>
                <w:lang w:val="en-US"/>
              </w:rPr>
            </w:pPr>
            <w:r>
              <w:rPr>
                <w:lang w:val="en-US"/>
              </w:rPr>
              <w:t xml:space="preserve">Funding to develop a training module on diagnostic overshadowing for the medical profession </w:t>
            </w:r>
          </w:p>
        </w:tc>
        <w:tc>
          <w:tcPr>
            <w:tcW w:w="4111" w:type="dxa"/>
            <w:shd w:val="clear" w:color="auto" w:fill="F3F3F3"/>
          </w:tcPr>
          <w:p w14:paraId="6BC8562E" w14:textId="4508B6DC" w:rsidR="00F31CB9" w:rsidRDefault="00EE162E">
            <w:pPr>
              <w:rPr>
                <w:lang w:val="en-US"/>
              </w:rPr>
            </w:pPr>
            <w:r>
              <w:rPr>
                <w:lang w:val="en-US"/>
              </w:rPr>
              <w:t xml:space="preserve">Diagnostic overshadowing is when a medical professional assumes that a patient’s complaint is related to their disability. </w:t>
            </w:r>
            <w:r w:rsidR="00852706">
              <w:rPr>
                <w:lang w:val="en-US"/>
              </w:rPr>
              <w:t xml:space="preserve">This is a significant risk when </w:t>
            </w:r>
            <w:r w:rsidR="00DD6C2C">
              <w:rPr>
                <w:lang w:val="en-US"/>
              </w:rPr>
              <w:t xml:space="preserve">medical professionals do not have specific disability knowledge and training. It can lead to </w:t>
            </w:r>
            <w:r w:rsidR="00B4687B">
              <w:rPr>
                <w:lang w:val="en-US"/>
              </w:rPr>
              <w:t xml:space="preserve">symptom dismissals, underdiagnoses, </w:t>
            </w:r>
            <w:r w:rsidR="00374D94">
              <w:rPr>
                <w:lang w:val="en-US"/>
              </w:rPr>
              <w:t xml:space="preserve">and misdiagnoses. </w:t>
            </w:r>
            <w:r w:rsidR="008A779E">
              <w:rPr>
                <w:lang w:val="en-US"/>
              </w:rPr>
              <w:t xml:space="preserve"> It’s a complex and emerging concern </w:t>
            </w:r>
            <w:r w:rsidR="007556F8">
              <w:rPr>
                <w:lang w:val="en-US"/>
              </w:rPr>
              <w:t xml:space="preserve">that requires work to develop training.  </w:t>
            </w:r>
          </w:p>
        </w:tc>
      </w:tr>
      <w:tr w:rsidR="00F31CB9" w14:paraId="1137BCF3" w14:textId="77777777" w:rsidTr="00EE6066">
        <w:tc>
          <w:tcPr>
            <w:tcW w:w="2766" w:type="dxa"/>
            <w:vMerge/>
            <w:shd w:val="clear" w:color="auto" w:fill="F3F3F3"/>
          </w:tcPr>
          <w:p w14:paraId="50C16D87" w14:textId="77777777" w:rsidR="00F31CB9" w:rsidRDefault="00F31CB9">
            <w:pPr>
              <w:rPr>
                <w:lang w:val="en-US"/>
              </w:rPr>
            </w:pPr>
          </w:p>
        </w:tc>
        <w:tc>
          <w:tcPr>
            <w:tcW w:w="2785" w:type="dxa"/>
            <w:shd w:val="clear" w:color="auto" w:fill="F3F3F3"/>
          </w:tcPr>
          <w:p w14:paraId="2793B620" w14:textId="7DEFC0F1" w:rsidR="00F31CB9" w:rsidRDefault="00F31CB9">
            <w:pPr>
              <w:rPr>
                <w:lang w:val="en-US"/>
              </w:rPr>
            </w:pPr>
            <w:r>
              <w:rPr>
                <w:lang w:val="en-US"/>
              </w:rPr>
              <w:t>Extended consultations</w:t>
            </w:r>
          </w:p>
        </w:tc>
        <w:tc>
          <w:tcPr>
            <w:tcW w:w="4225" w:type="dxa"/>
            <w:shd w:val="clear" w:color="auto" w:fill="F3F3F3"/>
          </w:tcPr>
          <w:p w14:paraId="68BEBA8C" w14:textId="05344AFD" w:rsidR="00F31CB9" w:rsidRDefault="00B6105E">
            <w:pPr>
              <w:rPr>
                <w:lang w:val="en-US"/>
              </w:rPr>
            </w:pPr>
            <w:r>
              <w:rPr>
                <w:lang w:val="en-US"/>
              </w:rPr>
              <w:t>Funding for an annual free extended consultation for people with disabilities as recommended by the ACTCOSS Imagining Better Report</w:t>
            </w:r>
          </w:p>
        </w:tc>
        <w:tc>
          <w:tcPr>
            <w:tcW w:w="4111" w:type="dxa"/>
            <w:shd w:val="clear" w:color="auto" w:fill="F3F3F3"/>
          </w:tcPr>
          <w:p w14:paraId="78076D4A" w14:textId="0633BF02" w:rsidR="00F31CB9" w:rsidRDefault="000C2493">
            <w:pPr>
              <w:rPr>
                <w:lang w:val="en-US"/>
              </w:rPr>
            </w:pPr>
            <w:r>
              <w:rPr>
                <w:lang w:val="en-US"/>
              </w:rPr>
              <w:t xml:space="preserve">The </w:t>
            </w:r>
            <w:hyperlink r:id="rId23" w:history="1">
              <w:r w:rsidRPr="000E600A">
                <w:rPr>
                  <w:rStyle w:val="Hyperlink"/>
                  <w:lang w:val="en-US"/>
                </w:rPr>
                <w:t>Report on Government Services</w:t>
              </w:r>
            </w:hyperlink>
            <w:r>
              <w:rPr>
                <w:lang w:val="en-US"/>
              </w:rPr>
              <w:t xml:space="preserve"> (2022) </w:t>
            </w:r>
            <w:r w:rsidR="00A10937">
              <w:rPr>
                <w:lang w:val="en-US"/>
              </w:rPr>
              <w:t xml:space="preserve">highlight the need for </w:t>
            </w:r>
            <w:r w:rsidR="001072A2">
              <w:rPr>
                <w:lang w:val="en-US"/>
              </w:rPr>
              <w:t>action and attention to health servi</w:t>
            </w:r>
            <w:r w:rsidR="003A743D">
              <w:rPr>
                <w:lang w:val="en-US"/>
              </w:rPr>
              <w:t xml:space="preserve">ces for people with disability. </w:t>
            </w:r>
            <w:r w:rsidR="00831648">
              <w:rPr>
                <w:lang w:val="en-US"/>
              </w:rPr>
              <w:t xml:space="preserve">Waiting times for necessary care are mounting, with more than 50% of people in need of an urgent appointment having to wait more than 24 hours. </w:t>
            </w:r>
            <w:r w:rsidR="0071235E">
              <w:rPr>
                <w:lang w:val="en-US"/>
              </w:rPr>
              <w:t xml:space="preserve">Current </w:t>
            </w:r>
            <w:r w:rsidR="002D2D6A">
              <w:rPr>
                <w:lang w:val="en-US"/>
              </w:rPr>
              <w:t>settings</w:t>
            </w:r>
            <w:r w:rsidR="0071235E">
              <w:rPr>
                <w:lang w:val="en-US"/>
              </w:rPr>
              <w:t xml:space="preserve"> </w:t>
            </w:r>
            <w:r w:rsidR="00723FA0">
              <w:rPr>
                <w:lang w:val="en-US"/>
              </w:rPr>
              <w:t>mean that m</w:t>
            </w:r>
            <w:r w:rsidR="00831648">
              <w:rPr>
                <w:lang w:val="en-US"/>
              </w:rPr>
              <w:t>edical professionals are under financial pressure to keep consultations short</w:t>
            </w:r>
            <w:r w:rsidR="002D2D6A">
              <w:rPr>
                <w:lang w:val="en-US"/>
              </w:rPr>
              <w:t xml:space="preserve">. </w:t>
            </w:r>
            <w:r w:rsidR="00FF6A18">
              <w:rPr>
                <w:lang w:val="en-US"/>
              </w:rPr>
              <w:t xml:space="preserve"> </w:t>
            </w:r>
            <w:r w:rsidR="00EE52B2">
              <w:rPr>
                <w:lang w:val="en-US"/>
              </w:rPr>
              <w:t xml:space="preserve">This was a key recommendation from the </w:t>
            </w:r>
            <w:hyperlink r:id="rId24" w:history="1">
              <w:r w:rsidR="00EE52B2" w:rsidRPr="008377D9">
                <w:rPr>
                  <w:rStyle w:val="Hyperlink"/>
                  <w:lang w:val="en-US"/>
                </w:rPr>
                <w:t>ACTCOSS Imagining Better report</w:t>
              </w:r>
            </w:hyperlink>
            <w:r w:rsidR="00EE52B2">
              <w:rPr>
                <w:lang w:val="en-US"/>
              </w:rPr>
              <w:t xml:space="preserve"> </w:t>
            </w:r>
            <w:r w:rsidR="00BB501E">
              <w:rPr>
                <w:lang w:val="en-US"/>
              </w:rPr>
              <w:t xml:space="preserve">– people with disability </w:t>
            </w:r>
            <w:r w:rsidR="00B64062">
              <w:rPr>
                <w:lang w:val="en-US"/>
              </w:rPr>
              <w:t>highlighted</w:t>
            </w:r>
            <w:r w:rsidR="00BB501E">
              <w:rPr>
                <w:lang w:val="en-US"/>
              </w:rPr>
              <w:t xml:space="preserve"> issues with </w:t>
            </w:r>
            <w:r w:rsidR="00B64062">
              <w:rPr>
                <w:lang w:val="en-US"/>
              </w:rPr>
              <w:t xml:space="preserve">short </w:t>
            </w:r>
            <w:r w:rsidR="008A779E">
              <w:rPr>
                <w:lang w:val="en-US"/>
              </w:rPr>
              <w:t>consultations</w:t>
            </w:r>
            <w:r w:rsidR="00B64062">
              <w:rPr>
                <w:lang w:val="en-US"/>
              </w:rPr>
              <w:t xml:space="preserve"> in managing complex and chronic conditions and </w:t>
            </w:r>
            <w:r w:rsidR="008377D9">
              <w:rPr>
                <w:lang w:val="en-US"/>
              </w:rPr>
              <w:t xml:space="preserve">showed </w:t>
            </w:r>
            <w:r w:rsidR="00B64062">
              <w:rPr>
                <w:lang w:val="en-US"/>
              </w:rPr>
              <w:t xml:space="preserve">how short bulk billing consultations exacerbated the risk of poor outcomes and diagnostic overshadowing.  </w:t>
            </w:r>
          </w:p>
        </w:tc>
      </w:tr>
      <w:tr w:rsidR="00F31CB9" w14:paraId="5320B3C6" w14:textId="77777777" w:rsidTr="00EE6066">
        <w:tc>
          <w:tcPr>
            <w:tcW w:w="2766" w:type="dxa"/>
            <w:vMerge/>
            <w:shd w:val="clear" w:color="auto" w:fill="F3F3F3"/>
          </w:tcPr>
          <w:p w14:paraId="21A8B5A9" w14:textId="77777777" w:rsidR="00F31CB9" w:rsidRDefault="00F31CB9">
            <w:pPr>
              <w:rPr>
                <w:lang w:val="en-US"/>
              </w:rPr>
            </w:pPr>
          </w:p>
        </w:tc>
        <w:tc>
          <w:tcPr>
            <w:tcW w:w="2785" w:type="dxa"/>
            <w:shd w:val="clear" w:color="auto" w:fill="F3F3F3"/>
          </w:tcPr>
          <w:p w14:paraId="604DD91A" w14:textId="71C9EBE9" w:rsidR="00F31CB9" w:rsidRDefault="00F31CB9">
            <w:pPr>
              <w:rPr>
                <w:lang w:val="en-US"/>
              </w:rPr>
            </w:pPr>
            <w:r>
              <w:rPr>
                <w:lang w:val="en-US"/>
              </w:rPr>
              <w:t>Wraparound diagnostic services</w:t>
            </w:r>
          </w:p>
        </w:tc>
        <w:tc>
          <w:tcPr>
            <w:tcW w:w="4225" w:type="dxa"/>
            <w:shd w:val="clear" w:color="auto" w:fill="F3F3F3"/>
          </w:tcPr>
          <w:p w14:paraId="258EA9F1" w14:textId="42F91618" w:rsidR="00F31CB9" w:rsidRDefault="00B6105E">
            <w:pPr>
              <w:rPr>
                <w:lang w:val="en-US"/>
              </w:rPr>
            </w:pPr>
            <w:r>
              <w:rPr>
                <w:lang w:val="en-US"/>
              </w:rPr>
              <w:t>Funding to encourage the development of ACT based wrap around services for people with a diagnostic disability – i.e</w:t>
            </w:r>
            <w:r w:rsidR="0034069E">
              <w:rPr>
                <w:lang w:val="en-US"/>
              </w:rPr>
              <w:t>.</w:t>
            </w:r>
            <w:r>
              <w:rPr>
                <w:lang w:val="en-US"/>
              </w:rPr>
              <w:t>, an ACT Downs Syndrome Clinic</w:t>
            </w:r>
            <w:r w:rsidR="00A36B01">
              <w:rPr>
                <w:lang w:val="en-US"/>
              </w:rPr>
              <w:t xml:space="preserve"> or a Muscular </w:t>
            </w:r>
            <w:r w:rsidR="00A36B01">
              <w:rPr>
                <w:lang w:val="en-US"/>
              </w:rPr>
              <w:lastRenderedPageBreak/>
              <w:t>Dystrophy Clinic (or to bring those clinics to Canberra periodically)</w:t>
            </w:r>
          </w:p>
        </w:tc>
        <w:tc>
          <w:tcPr>
            <w:tcW w:w="4111" w:type="dxa"/>
            <w:shd w:val="clear" w:color="auto" w:fill="F3F3F3"/>
          </w:tcPr>
          <w:p w14:paraId="6D1A40D0" w14:textId="7C982191" w:rsidR="00F31CB9" w:rsidRDefault="00FD10BD">
            <w:pPr>
              <w:rPr>
                <w:lang w:val="en-US"/>
              </w:rPr>
            </w:pPr>
            <w:r w:rsidRPr="007556F8">
              <w:rPr>
                <w:lang w:val="en-US"/>
              </w:rPr>
              <w:lastRenderedPageBreak/>
              <w:t xml:space="preserve">This was a key recommendation from the ACTCOSS Imagining Better report – people with disability highlighted </w:t>
            </w:r>
            <w:r>
              <w:rPr>
                <w:lang w:val="en-US"/>
              </w:rPr>
              <w:t xml:space="preserve">the lack of some </w:t>
            </w:r>
            <w:r>
              <w:rPr>
                <w:lang w:val="en-US"/>
              </w:rPr>
              <w:lastRenderedPageBreak/>
              <w:t xml:space="preserve">diagnostic wrap-around services in Canberra.  </w:t>
            </w:r>
          </w:p>
        </w:tc>
      </w:tr>
      <w:tr w:rsidR="00F31CB9" w14:paraId="36431D7C" w14:textId="77777777" w:rsidTr="00EE6066">
        <w:tc>
          <w:tcPr>
            <w:tcW w:w="2766" w:type="dxa"/>
            <w:vMerge/>
            <w:shd w:val="clear" w:color="auto" w:fill="F3F3F3"/>
          </w:tcPr>
          <w:p w14:paraId="66E91577" w14:textId="77777777" w:rsidR="00F31CB9" w:rsidRDefault="00F31CB9">
            <w:pPr>
              <w:rPr>
                <w:lang w:val="en-US"/>
              </w:rPr>
            </w:pPr>
          </w:p>
        </w:tc>
        <w:tc>
          <w:tcPr>
            <w:tcW w:w="2785" w:type="dxa"/>
            <w:shd w:val="clear" w:color="auto" w:fill="F3F3F3"/>
          </w:tcPr>
          <w:p w14:paraId="16E96979" w14:textId="6A6C4E57" w:rsidR="00F31CB9" w:rsidRDefault="00F31CB9">
            <w:pPr>
              <w:rPr>
                <w:lang w:val="en-US"/>
              </w:rPr>
            </w:pPr>
            <w:r>
              <w:rPr>
                <w:lang w:val="en-US"/>
              </w:rPr>
              <w:t>Community health access grants</w:t>
            </w:r>
          </w:p>
        </w:tc>
        <w:tc>
          <w:tcPr>
            <w:tcW w:w="4225" w:type="dxa"/>
            <w:shd w:val="clear" w:color="auto" w:fill="F3F3F3"/>
          </w:tcPr>
          <w:p w14:paraId="1380085F" w14:textId="43BEFE87" w:rsidR="00F31CB9" w:rsidRDefault="00F31CB9">
            <w:pPr>
              <w:rPr>
                <w:lang w:val="en-US"/>
              </w:rPr>
            </w:pPr>
            <w:r>
              <w:rPr>
                <w:lang w:val="en-US"/>
              </w:rPr>
              <w:t>Small grants for physical, digital and information access improvements to primary practice and allied health</w:t>
            </w:r>
          </w:p>
        </w:tc>
        <w:tc>
          <w:tcPr>
            <w:tcW w:w="4111" w:type="dxa"/>
            <w:shd w:val="clear" w:color="auto" w:fill="F3F3F3"/>
          </w:tcPr>
          <w:p w14:paraId="31CDEDF1" w14:textId="58DF5FC0" w:rsidR="00F31CB9" w:rsidRDefault="008377D9">
            <w:pPr>
              <w:rPr>
                <w:lang w:val="en-US"/>
              </w:rPr>
            </w:pPr>
            <w:r>
              <w:rPr>
                <w:lang w:val="en-US"/>
              </w:rPr>
              <w:t>A 2003 survey from</w:t>
            </w:r>
            <w:r w:rsidR="00E36194">
              <w:rPr>
                <w:lang w:val="en-US"/>
              </w:rPr>
              <w:t xml:space="preserve"> Access for All highlighted a</w:t>
            </w:r>
            <w:r>
              <w:rPr>
                <w:lang w:val="en-US"/>
              </w:rPr>
              <w:t xml:space="preserve">n extremely poor level </w:t>
            </w:r>
            <w:r w:rsidR="00E36194">
              <w:rPr>
                <w:lang w:val="en-US"/>
              </w:rPr>
              <w:t xml:space="preserve">of accessible buildings, exam beds, signage and other facilities within primary and allied health.  </w:t>
            </w:r>
            <w:r>
              <w:rPr>
                <w:lang w:val="en-US"/>
              </w:rPr>
              <w:t xml:space="preserve">A more </w:t>
            </w:r>
            <w:hyperlink r:id="rId25" w:anchor=":~:text=In%202003%20a%20community%20advocacy%20group%2C%20Access%20for,examination%20beds%20and%20only%20719%20adjustable-height%20examination%20beds." w:history="1">
              <w:r w:rsidRPr="008377D9">
                <w:rPr>
                  <w:rStyle w:val="Hyperlink"/>
                  <w:lang w:val="en-US"/>
                </w:rPr>
                <w:t>recent letter of concern</w:t>
              </w:r>
            </w:hyperlink>
            <w:r>
              <w:rPr>
                <w:lang w:val="en-US"/>
              </w:rPr>
              <w:t xml:space="preserve"> from the Federal Human Rights Commission to the RACP indicated that they were concerned about the lack of progress on the issues raised in this survey. </w:t>
            </w:r>
          </w:p>
        </w:tc>
      </w:tr>
      <w:tr w:rsidR="00F31CB9" w14:paraId="295DF633" w14:textId="77777777" w:rsidTr="00EE6066">
        <w:tc>
          <w:tcPr>
            <w:tcW w:w="2766" w:type="dxa"/>
            <w:vMerge/>
            <w:shd w:val="clear" w:color="auto" w:fill="F3F3F3"/>
          </w:tcPr>
          <w:p w14:paraId="3BC35AF3" w14:textId="77777777" w:rsidR="00F31CB9" w:rsidRDefault="00F31CB9">
            <w:pPr>
              <w:rPr>
                <w:lang w:val="en-US"/>
              </w:rPr>
            </w:pPr>
          </w:p>
        </w:tc>
        <w:tc>
          <w:tcPr>
            <w:tcW w:w="2785" w:type="dxa"/>
            <w:shd w:val="clear" w:color="auto" w:fill="F3F3F3"/>
          </w:tcPr>
          <w:p w14:paraId="5084FDD5" w14:textId="0C694103" w:rsidR="00F31CB9" w:rsidRDefault="00F31CB9">
            <w:pPr>
              <w:rPr>
                <w:lang w:val="en-US"/>
              </w:rPr>
            </w:pPr>
            <w:r>
              <w:rPr>
                <w:lang w:val="en-US"/>
              </w:rPr>
              <w:t>Hospital kit upgrades</w:t>
            </w:r>
          </w:p>
        </w:tc>
        <w:tc>
          <w:tcPr>
            <w:tcW w:w="4225" w:type="dxa"/>
            <w:shd w:val="clear" w:color="auto" w:fill="F3F3F3"/>
          </w:tcPr>
          <w:p w14:paraId="190AC141" w14:textId="097D370E" w:rsidR="00F31CB9" w:rsidRDefault="00F31CB9">
            <w:pPr>
              <w:rPr>
                <w:lang w:val="en-US"/>
              </w:rPr>
            </w:pPr>
            <w:r>
              <w:rPr>
                <w:lang w:val="en-US"/>
              </w:rPr>
              <w:t>Funding to address accessibility gaps in acute settings – communication boards, hoists, adjustable exam beds etc</w:t>
            </w:r>
            <w:r w:rsidR="00FA3038">
              <w:rPr>
                <w:lang w:val="en-US"/>
              </w:rPr>
              <w:t>.</w:t>
            </w:r>
          </w:p>
        </w:tc>
        <w:tc>
          <w:tcPr>
            <w:tcW w:w="4111" w:type="dxa"/>
            <w:shd w:val="clear" w:color="auto" w:fill="F3F3F3"/>
          </w:tcPr>
          <w:p w14:paraId="4CA48B2B" w14:textId="07DBB120" w:rsidR="00F31CB9" w:rsidRDefault="00E36194">
            <w:pPr>
              <w:rPr>
                <w:lang w:val="en-US"/>
              </w:rPr>
            </w:pPr>
            <w:r>
              <w:rPr>
                <w:lang w:val="en-US"/>
              </w:rPr>
              <w:t xml:space="preserve">The lack of accessible, modern and fit for purpose kit has been consistently highlighted in strategy consultations.  </w:t>
            </w:r>
          </w:p>
        </w:tc>
      </w:tr>
      <w:tr w:rsidR="008513E3" w14:paraId="59A79CBE" w14:textId="77777777" w:rsidTr="5DFCCB07">
        <w:tc>
          <w:tcPr>
            <w:tcW w:w="2766" w:type="dxa"/>
            <w:vMerge w:val="restart"/>
          </w:tcPr>
          <w:p w14:paraId="3E720291" w14:textId="77777777" w:rsidR="008513E3" w:rsidRDefault="008513E3">
            <w:pPr>
              <w:rPr>
                <w:b/>
                <w:bCs/>
                <w:lang w:val="en-US"/>
              </w:rPr>
            </w:pPr>
            <w:r w:rsidRPr="0015503D">
              <w:rPr>
                <w:b/>
                <w:bCs/>
                <w:lang w:val="en-US"/>
              </w:rPr>
              <w:t xml:space="preserve">Disability support </w:t>
            </w:r>
          </w:p>
          <w:p w14:paraId="4B523C5B" w14:textId="77777777" w:rsidR="008513E3" w:rsidRDefault="008513E3">
            <w:pPr>
              <w:rPr>
                <w:b/>
                <w:bCs/>
                <w:lang w:val="en-US"/>
              </w:rPr>
            </w:pPr>
          </w:p>
          <w:p w14:paraId="7E334FCA" w14:textId="77777777" w:rsidR="008513E3" w:rsidRDefault="008513E3">
            <w:pPr>
              <w:rPr>
                <w:i/>
                <w:iCs/>
                <w:lang w:val="en-US"/>
              </w:rPr>
            </w:pPr>
            <w:r w:rsidRPr="008513E3">
              <w:rPr>
                <w:i/>
                <w:iCs/>
                <w:lang w:val="en-US"/>
              </w:rPr>
              <w:t>Funding to maintain and deliver disability supports including NDIS gaps, mental health and transition supports for people in crisis</w:t>
            </w:r>
          </w:p>
          <w:p w14:paraId="4D0357B1" w14:textId="77777777" w:rsidR="002F4AE6" w:rsidRDefault="002F4AE6">
            <w:pPr>
              <w:rPr>
                <w:i/>
                <w:iCs/>
                <w:lang w:val="en-US"/>
              </w:rPr>
            </w:pPr>
          </w:p>
          <w:p w14:paraId="14480329" w14:textId="77777777" w:rsidR="002F4AE6" w:rsidRDefault="002F4AE6" w:rsidP="002F4AE6">
            <w:pPr>
              <w:rPr>
                <w:i/>
                <w:iCs/>
                <w:lang w:val="en-US"/>
              </w:rPr>
            </w:pPr>
          </w:p>
          <w:p w14:paraId="29ADF7EA" w14:textId="627C0389" w:rsidR="002F4AE6" w:rsidRPr="0002005E" w:rsidRDefault="002F4AE6" w:rsidP="002F4AE6">
            <w:pPr>
              <w:rPr>
                <w:sz w:val="20"/>
                <w:szCs w:val="20"/>
                <w:lang w:val="en-US"/>
              </w:rPr>
            </w:pPr>
            <w:r w:rsidRPr="0002005E">
              <w:rPr>
                <w:sz w:val="20"/>
                <w:szCs w:val="20"/>
                <w:lang w:val="en-US"/>
              </w:rPr>
              <w:t xml:space="preserve">Supports delivery of outcomes under Wellbeing Indicator </w:t>
            </w:r>
            <w:hyperlink r:id="rId26" w:history="1">
              <w:r w:rsidR="001E629D" w:rsidRPr="002F3A90">
                <w:rPr>
                  <w:rStyle w:val="Hyperlink"/>
                  <w:sz w:val="20"/>
                  <w:szCs w:val="20"/>
                  <w:lang w:val="en-US"/>
                </w:rPr>
                <w:t>Human Right</w:t>
              </w:r>
              <w:r w:rsidR="00E97FE1" w:rsidRPr="002F3A90">
                <w:rPr>
                  <w:rStyle w:val="Hyperlink"/>
                  <w:sz w:val="20"/>
                  <w:szCs w:val="20"/>
                  <w:lang w:val="en-US"/>
                </w:rPr>
                <w:t>s</w:t>
              </w:r>
            </w:hyperlink>
            <w:r w:rsidR="00E97FE1">
              <w:rPr>
                <w:sz w:val="20"/>
                <w:szCs w:val="20"/>
                <w:lang w:val="en-US"/>
              </w:rPr>
              <w:t>,</w:t>
            </w:r>
            <w:r w:rsidR="001E629D">
              <w:rPr>
                <w:sz w:val="20"/>
                <w:szCs w:val="20"/>
                <w:lang w:val="en-US"/>
              </w:rPr>
              <w:t xml:space="preserve"> </w:t>
            </w:r>
            <w:hyperlink r:id="rId27" w:history="1">
              <w:r w:rsidR="001E629D" w:rsidRPr="002F3A90">
                <w:rPr>
                  <w:rStyle w:val="Hyperlink"/>
                  <w:sz w:val="20"/>
                  <w:szCs w:val="20"/>
                  <w:lang w:val="en-US"/>
                </w:rPr>
                <w:t>Access to Services</w:t>
              </w:r>
            </w:hyperlink>
            <w:r w:rsidR="00E97FE1">
              <w:rPr>
                <w:sz w:val="20"/>
                <w:szCs w:val="20"/>
                <w:lang w:val="en-US"/>
              </w:rPr>
              <w:t xml:space="preserve">, and </w:t>
            </w:r>
            <w:hyperlink r:id="rId28" w:history="1">
              <w:r w:rsidR="00E97FE1" w:rsidRPr="00987CB1">
                <w:rPr>
                  <w:rStyle w:val="Hyperlink"/>
                  <w:sz w:val="20"/>
                  <w:szCs w:val="20"/>
                  <w:lang w:val="en-US"/>
                </w:rPr>
                <w:t>Mental Health</w:t>
              </w:r>
            </w:hyperlink>
          </w:p>
          <w:p w14:paraId="120C9272" w14:textId="77777777" w:rsidR="002F4AE6" w:rsidRPr="0002005E" w:rsidRDefault="002F4AE6" w:rsidP="002F4AE6">
            <w:pPr>
              <w:rPr>
                <w:i/>
                <w:iCs/>
                <w:sz w:val="20"/>
                <w:szCs w:val="20"/>
                <w:lang w:val="en-US"/>
              </w:rPr>
            </w:pPr>
          </w:p>
          <w:p w14:paraId="60ACE184" w14:textId="08CC1231" w:rsidR="002F4AE6" w:rsidRPr="008513E3" w:rsidRDefault="002F4AE6" w:rsidP="002F4AE6">
            <w:pPr>
              <w:rPr>
                <w:i/>
                <w:iCs/>
                <w:lang w:val="en-US"/>
              </w:rPr>
            </w:pPr>
            <w:r w:rsidRPr="0002005E">
              <w:rPr>
                <w:sz w:val="20"/>
                <w:szCs w:val="20"/>
                <w:lang w:val="en-US"/>
              </w:rPr>
              <w:t xml:space="preserve">Enables compliance with CRPD </w:t>
            </w:r>
            <w:hyperlink r:id="rId29" w:history="1">
              <w:r w:rsidRPr="00CB2FA0">
                <w:rPr>
                  <w:rStyle w:val="Hyperlink"/>
                  <w:sz w:val="20"/>
                  <w:szCs w:val="20"/>
                  <w:lang w:val="en-US"/>
                </w:rPr>
                <w:t xml:space="preserve">Article </w:t>
              </w:r>
              <w:r w:rsidR="00CC4858" w:rsidRPr="00CB2FA0">
                <w:rPr>
                  <w:rStyle w:val="Hyperlink"/>
                  <w:sz w:val="20"/>
                  <w:szCs w:val="20"/>
                  <w:lang w:val="en-US"/>
                </w:rPr>
                <w:t>25 - Health</w:t>
              </w:r>
            </w:hyperlink>
          </w:p>
        </w:tc>
        <w:tc>
          <w:tcPr>
            <w:tcW w:w="2785" w:type="dxa"/>
          </w:tcPr>
          <w:p w14:paraId="635465C2" w14:textId="595C3592" w:rsidR="008513E3" w:rsidRDefault="008513E3">
            <w:pPr>
              <w:rPr>
                <w:lang w:val="en-US"/>
              </w:rPr>
            </w:pPr>
            <w:r>
              <w:rPr>
                <w:lang w:val="en-US"/>
              </w:rPr>
              <w:t xml:space="preserve">Continue CASP and address mental health gaps and shortfalls </w:t>
            </w:r>
          </w:p>
        </w:tc>
        <w:tc>
          <w:tcPr>
            <w:tcW w:w="4225" w:type="dxa"/>
          </w:tcPr>
          <w:p w14:paraId="0F63FBE7" w14:textId="77777777" w:rsidR="008513E3" w:rsidRPr="00BB38A7" w:rsidRDefault="008513E3" w:rsidP="00BB38A7">
            <w:pPr>
              <w:rPr>
                <w:lang w:val="en-US"/>
              </w:rPr>
            </w:pPr>
            <w:r w:rsidRPr="00BB38A7">
              <w:rPr>
                <w:lang w:val="en-US"/>
              </w:rPr>
              <w:t xml:space="preserve">Continued funding to address gaps in supports under NDIS including mental </w:t>
            </w:r>
          </w:p>
          <w:p w14:paraId="09C38DA9" w14:textId="77777777" w:rsidR="008513E3" w:rsidRPr="00BB38A7" w:rsidRDefault="008513E3" w:rsidP="00BB38A7">
            <w:pPr>
              <w:rPr>
                <w:lang w:val="en-US"/>
              </w:rPr>
            </w:pPr>
            <w:r w:rsidRPr="00BB38A7">
              <w:rPr>
                <w:lang w:val="en-US"/>
              </w:rPr>
              <w:t xml:space="preserve">health and the continuation of discrete funding for ACT Community Assistance &amp; </w:t>
            </w:r>
          </w:p>
          <w:p w14:paraId="37D0B764" w14:textId="40B47976" w:rsidR="008513E3" w:rsidRDefault="008513E3" w:rsidP="00BB38A7">
            <w:pPr>
              <w:rPr>
                <w:lang w:val="en-US"/>
              </w:rPr>
            </w:pPr>
            <w:r w:rsidRPr="00BB38A7">
              <w:rPr>
                <w:lang w:val="en-US"/>
              </w:rPr>
              <w:t>Support Program</w:t>
            </w:r>
            <w:r>
              <w:rPr>
                <w:lang w:val="en-US"/>
              </w:rPr>
              <w:t xml:space="preserve">. Indexation and funding continuity </w:t>
            </w:r>
          </w:p>
        </w:tc>
        <w:tc>
          <w:tcPr>
            <w:tcW w:w="4111" w:type="dxa"/>
          </w:tcPr>
          <w:p w14:paraId="5D185117" w14:textId="1AD6AFD8" w:rsidR="008513E3" w:rsidRDefault="008513E3">
            <w:pPr>
              <w:rPr>
                <w:lang w:val="en-US"/>
              </w:rPr>
            </w:pPr>
            <w:r>
              <w:rPr>
                <w:lang w:val="en-US"/>
              </w:rPr>
              <w:t xml:space="preserve">Individual advocates have noted a continuing need and gaps in support for people exiting acute health care, justice and crisis.  The ACT’s CASP program fills important ongoing gaps for people ineligible for the NDIS and people in NDIS transition that have been widely highlighted including in the NDIS review and hearings of the Royal Commission.  </w:t>
            </w:r>
          </w:p>
        </w:tc>
      </w:tr>
      <w:tr w:rsidR="008513E3" w14:paraId="7B843F9F" w14:textId="77777777" w:rsidTr="00EE6066">
        <w:trPr>
          <w:trHeight w:val="1611"/>
        </w:trPr>
        <w:tc>
          <w:tcPr>
            <w:tcW w:w="2766" w:type="dxa"/>
            <w:vMerge/>
            <w:tcBorders>
              <w:bottom w:val="single" w:sz="4" w:space="0" w:color="auto"/>
            </w:tcBorders>
          </w:tcPr>
          <w:p w14:paraId="536832BE" w14:textId="77777777" w:rsidR="008513E3" w:rsidRDefault="008513E3">
            <w:pPr>
              <w:rPr>
                <w:lang w:val="en-US"/>
              </w:rPr>
            </w:pPr>
          </w:p>
        </w:tc>
        <w:tc>
          <w:tcPr>
            <w:tcW w:w="2785" w:type="dxa"/>
            <w:tcBorders>
              <w:bottom w:val="single" w:sz="4" w:space="0" w:color="auto"/>
            </w:tcBorders>
          </w:tcPr>
          <w:p w14:paraId="5F6F9211" w14:textId="50F8C6D2" w:rsidR="008513E3" w:rsidRDefault="008513E3">
            <w:pPr>
              <w:rPr>
                <w:lang w:val="en-US"/>
              </w:rPr>
            </w:pPr>
            <w:r>
              <w:rPr>
                <w:lang w:val="en-US"/>
              </w:rPr>
              <w:t>Post PACER support</w:t>
            </w:r>
          </w:p>
        </w:tc>
        <w:tc>
          <w:tcPr>
            <w:tcW w:w="4225" w:type="dxa"/>
            <w:tcBorders>
              <w:bottom w:val="single" w:sz="4" w:space="0" w:color="auto"/>
            </w:tcBorders>
          </w:tcPr>
          <w:p w14:paraId="5643775B" w14:textId="230BEDBB" w:rsidR="008513E3" w:rsidRDefault="008513E3">
            <w:pPr>
              <w:rPr>
                <w:lang w:val="en-US"/>
              </w:rPr>
            </w:pPr>
            <w:r>
              <w:rPr>
                <w:lang w:val="en-US"/>
              </w:rPr>
              <w:t xml:space="preserve">Funding to provide medium-longer term support to people in mental health crisis in contact with PACER </w:t>
            </w:r>
          </w:p>
        </w:tc>
        <w:tc>
          <w:tcPr>
            <w:tcW w:w="4111" w:type="dxa"/>
            <w:tcBorders>
              <w:bottom w:val="single" w:sz="4" w:space="0" w:color="auto"/>
            </w:tcBorders>
          </w:tcPr>
          <w:p w14:paraId="7546CE73" w14:textId="42FCAD8F" w:rsidR="008513E3" w:rsidRDefault="008513E3">
            <w:pPr>
              <w:rPr>
                <w:lang w:val="en-US"/>
              </w:rPr>
            </w:pPr>
            <w:r>
              <w:rPr>
                <w:lang w:val="en-US"/>
              </w:rPr>
              <w:t>The PACER program is well regarded however i</w:t>
            </w:r>
            <w:r w:rsidRPr="00B57194">
              <w:rPr>
                <w:lang w:val="en-US"/>
              </w:rPr>
              <w:t>ndividual advocates have noted a continuing need and gaps in support for people exiting acute health care, justice and crisis</w:t>
            </w:r>
            <w:r>
              <w:rPr>
                <w:lang w:val="en-US"/>
              </w:rPr>
              <w:t xml:space="preserve">. These issues have highlighted in the PACER review.  </w:t>
            </w:r>
          </w:p>
        </w:tc>
      </w:tr>
      <w:tr w:rsidR="00A36596" w14:paraId="5662DD16" w14:textId="77777777" w:rsidTr="00EE6066">
        <w:tc>
          <w:tcPr>
            <w:tcW w:w="2766" w:type="dxa"/>
            <w:vMerge w:val="restart"/>
            <w:shd w:val="clear" w:color="auto" w:fill="F3F3F3"/>
          </w:tcPr>
          <w:p w14:paraId="6A773F7F" w14:textId="77777777" w:rsidR="00A36596" w:rsidRDefault="00A36596">
            <w:pPr>
              <w:rPr>
                <w:b/>
                <w:bCs/>
                <w:lang w:val="en-US"/>
              </w:rPr>
            </w:pPr>
            <w:r w:rsidRPr="007D1D96">
              <w:rPr>
                <w:b/>
                <w:bCs/>
                <w:lang w:val="en-US"/>
              </w:rPr>
              <w:lastRenderedPageBreak/>
              <w:t xml:space="preserve">Justice and Human Rights </w:t>
            </w:r>
          </w:p>
          <w:p w14:paraId="18BDCCC8" w14:textId="77777777" w:rsidR="008513E3" w:rsidRDefault="008513E3">
            <w:pPr>
              <w:rPr>
                <w:b/>
                <w:bCs/>
                <w:lang w:val="en-US"/>
              </w:rPr>
            </w:pPr>
          </w:p>
          <w:p w14:paraId="0667497E" w14:textId="77777777" w:rsidR="008513E3" w:rsidRDefault="004918C9">
            <w:pPr>
              <w:rPr>
                <w:i/>
                <w:iCs/>
                <w:lang w:val="en-US"/>
              </w:rPr>
            </w:pPr>
            <w:r w:rsidRPr="004918C9">
              <w:rPr>
                <w:i/>
                <w:iCs/>
                <w:lang w:val="en-US"/>
              </w:rPr>
              <w:t>Funding</w:t>
            </w:r>
            <w:r w:rsidR="008513E3" w:rsidRPr="004918C9">
              <w:rPr>
                <w:i/>
                <w:iCs/>
                <w:lang w:val="en-US"/>
              </w:rPr>
              <w:t xml:space="preserve"> to address the over-</w:t>
            </w:r>
            <w:r w:rsidRPr="004918C9">
              <w:rPr>
                <w:i/>
                <w:iCs/>
                <w:lang w:val="en-US"/>
              </w:rPr>
              <w:t>representation</w:t>
            </w:r>
            <w:r w:rsidR="008513E3" w:rsidRPr="004918C9">
              <w:rPr>
                <w:i/>
                <w:iCs/>
                <w:lang w:val="en-US"/>
              </w:rPr>
              <w:t xml:space="preserve"> of people with disability in the ACT justice system including diversion from the </w:t>
            </w:r>
            <w:r w:rsidRPr="004918C9">
              <w:rPr>
                <w:i/>
                <w:iCs/>
                <w:lang w:val="en-US"/>
              </w:rPr>
              <w:t xml:space="preserve">prison and oversight of closed spaces </w:t>
            </w:r>
          </w:p>
          <w:p w14:paraId="627D3402" w14:textId="77777777" w:rsidR="002F4AE6" w:rsidRDefault="002F4AE6">
            <w:pPr>
              <w:rPr>
                <w:i/>
                <w:iCs/>
                <w:lang w:val="en-US"/>
              </w:rPr>
            </w:pPr>
          </w:p>
          <w:p w14:paraId="21814784" w14:textId="77777777" w:rsidR="002F4AE6" w:rsidRDefault="002F4AE6" w:rsidP="002F4AE6">
            <w:pPr>
              <w:rPr>
                <w:i/>
                <w:iCs/>
                <w:lang w:val="en-US"/>
              </w:rPr>
            </w:pPr>
          </w:p>
          <w:p w14:paraId="77A14E38" w14:textId="73D819CE" w:rsidR="002F4AE6" w:rsidRPr="0002005E" w:rsidRDefault="002F4AE6" w:rsidP="002F4AE6">
            <w:pPr>
              <w:rPr>
                <w:sz w:val="20"/>
                <w:szCs w:val="20"/>
                <w:lang w:val="en-US"/>
              </w:rPr>
            </w:pPr>
            <w:r w:rsidRPr="0002005E">
              <w:rPr>
                <w:sz w:val="20"/>
                <w:szCs w:val="20"/>
                <w:lang w:val="en-US"/>
              </w:rPr>
              <w:t xml:space="preserve">Supports delivery of outcomes under Wellbeing Indicator </w:t>
            </w:r>
            <w:hyperlink r:id="rId30" w:history="1">
              <w:r w:rsidR="00FF4012" w:rsidRPr="004441A9">
                <w:rPr>
                  <w:rStyle w:val="Hyperlink"/>
                  <w:sz w:val="20"/>
                  <w:szCs w:val="20"/>
                  <w:lang w:val="en-US"/>
                </w:rPr>
                <w:t xml:space="preserve">Access to justice and </w:t>
              </w:r>
              <w:r w:rsidR="004441A9" w:rsidRPr="004441A9">
                <w:rPr>
                  <w:rStyle w:val="Hyperlink"/>
                  <w:sz w:val="20"/>
                  <w:szCs w:val="20"/>
                  <w:lang w:val="en-US"/>
                </w:rPr>
                <w:t>restorative practices</w:t>
              </w:r>
            </w:hyperlink>
            <w:r w:rsidR="008E37FC">
              <w:rPr>
                <w:sz w:val="20"/>
                <w:szCs w:val="20"/>
                <w:lang w:val="en-US"/>
              </w:rPr>
              <w:t xml:space="preserve"> and </w:t>
            </w:r>
            <w:hyperlink r:id="rId31" w:history="1">
              <w:r w:rsidR="008E37FC" w:rsidRPr="0064227F">
                <w:rPr>
                  <w:rStyle w:val="Hyperlink"/>
                  <w:sz w:val="20"/>
                  <w:szCs w:val="20"/>
                  <w:lang w:val="en-US"/>
                </w:rPr>
                <w:t>Human rights</w:t>
              </w:r>
            </w:hyperlink>
          </w:p>
          <w:p w14:paraId="0242AE30" w14:textId="77777777" w:rsidR="002F4AE6" w:rsidRPr="0002005E" w:rsidRDefault="002F4AE6" w:rsidP="002F4AE6">
            <w:pPr>
              <w:rPr>
                <w:i/>
                <w:iCs/>
                <w:sz w:val="20"/>
                <w:szCs w:val="20"/>
                <w:lang w:val="en-US"/>
              </w:rPr>
            </w:pPr>
          </w:p>
          <w:p w14:paraId="725BD843" w14:textId="79541D0B" w:rsidR="002F4AE6" w:rsidRPr="004918C9" w:rsidRDefault="002F4AE6" w:rsidP="002F4AE6">
            <w:pPr>
              <w:rPr>
                <w:i/>
                <w:iCs/>
                <w:lang w:val="en-US"/>
              </w:rPr>
            </w:pPr>
            <w:r w:rsidRPr="0002005E">
              <w:rPr>
                <w:sz w:val="20"/>
                <w:szCs w:val="20"/>
                <w:lang w:val="en-US"/>
              </w:rPr>
              <w:t xml:space="preserve">Enables compliance with CRPD </w:t>
            </w:r>
            <w:hyperlink r:id="rId32" w:history="1">
              <w:r w:rsidRPr="00CD4A8D">
                <w:rPr>
                  <w:rStyle w:val="Hyperlink"/>
                  <w:sz w:val="20"/>
                  <w:szCs w:val="20"/>
                  <w:lang w:val="en-US"/>
                </w:rPr>
                <w:t xml:space="preserve">Article </w:t>
              </w:r>
              <w:r w:rsidR="00CD4A8D" w:rsidRPr="00CD4A8D">
                <w:rPr>
                  <w:rStyle w:val="Hyperlink"/>
                  <w:sz w:val="20"/>
                  <w:szCs w:val="20"/>
                  <w:lang w:val="en-US"/>
                </w:rPr>
                <w:t>13 – Access to Justice</w:t>
              </w:r>
            </w:hyperlink>
            <w:r w:rsidR="00CD4A8D">
              <w:rPr>
                <w:sz w:val="20"/>
                <w:szCs w:val="20"/>
                <w:lang w:val="en-US"/>
              </w:rPr>
              <w:t xml:space="preserve"> and </w:t>
            </w:r>
            <w:hyperlink r:id="rId33" w:history="1">
              <w:r w:rsidR="00FC5069" w:rsidRPr="00496357">
                <w:rPr>
                  <w:rStyle w:val="Hyperlink"/>
                  <w:sz w:val="20"/>
                  <w:szCs w:val="20"/>
                  <w:lang w:val="en-US"/>
                </w:rPr>
                <w:t xml:space="preserve">Article 12 – Equal </w:t>
              </w:r>
              <w:r w:rsidR="00496357" w:rsidRPr="00496357">
                <w:rPr>
                  <w:rStyle w:val="Hyperlink"/>
                  <w:sz w:val="20"/>
                  <w:szCs w:val="20"/>
                  <w:lang w:val="en-US"/>
                </w:rPr>
                <w:t>R</w:t>
              </w:r>
              <w:r w:rsidR="00FC5069" w:rsidRPr="00496357">
                <w:rPr>
                  <w:rStyle w:val="Hyperlink"/>
                  <w:sz w:val="20"/>
                  <w:szCs w:val="20"/>
                  <w:lang w:val="en-US"/>
                </w:rPr>
                <w:t xml:space="preserve">ecognition </w:t>
              </w:r>
              <w:r w:rsidR="00496357" w:rsidRPr="00496357">
                <w:rPr>
                  <w:rStyle w:val="Hyperlink"/>
                  <w:sz w:val="20"/>
                  <w:szCs w:val="20"/>
                  <w:lang w:val="en-US"/>
                </w:rPr>
                <w:t>B</w:t>
              </w:r>
              <w:r w:rsidR="00FC5069" w:rsidRPr="00496357">
                <w:rPr>
                  <w:rStyle w:val="Hyperlink"/>
                  <w:sz w:val="20"/>
                  <w:szCs w:val="20"/>
                  <w:lang w:val="en-US"/>
                </w:rPr>
                <w:t xml:space="preserve">efore the </w:t>
              </w:r>
              <w:r w:rsidR="00496357" w:rsidRPr="00496357">
                <w:rPr>
                  <w:rStyle w:val="Hyperlink"/>
                  <w:sz w:val="20"/>
                  <w:szCs w:val="20"/>
                  <w:lang w:val="en-US"/>
                </w:rPr>
                <w:t>L</w:t>
              </w:r>
              <w:r w:rsidR="00FC5069" w:rsidRPr="00496357">
                <w:rPr>
                  <w:rStyle w:val="Hyperlink"/>
                  <w:sz w:val="20"/>
                  <w:szCs w:val="20"/>
                  <w:lang w:val="en-US"/>
                </w:rPr>
                <w:t>aw</w:t>
              </w:r>
            </w:hyperlink>
          </w:p>
        </w:tc>
        <w:tc>
          <w:tcPr>
            <w:tcW w:w="2785" w:type="dxa"/>
            <w:shd w:val="clear" w:color="auto" w:fill="F3F3F3"/>
          </w:tcPr>
          <w:p w14:paraId="48846A1E" w14:textId="69BC457F" w:rsidR="00A36596" w:rsidRDefault="00A36596">
            <w:pPr>
              <w:rPr>
                <w:lang w:val="en-US"/>
              </w:rPr>
            </w:pPr>
            <w:r>
              <w:rPr>
                <w:lang w:val="en-US"/>
              </w:rPr>
              <w:t xml:space="preserve">Implement healthy prisons review </w:t>
            </w:r>
            <w:r w:rsidR="006262AE">
              <w:rPr>
                <w:lang w:val="en-US"/>
              </w:rPr>
              <w:t>recommendations</w:t>
            </w:r>
            <w:r>
              <w:rPr>
                <w:lang w:val="en-US"/>
              </w:rPr>
              <w:t xml:space="preserve"> in AMC</w:t>
            </w:r>
          </w:p>
        </w:tc>
        <w:tc>
          <w:tcPr>
            <w:tcW w:w="4225" w:type="dxa"/>
            <w:shd w:val="clear" w:color="auto" w:fill="F3F3F3"/>
          </w:tcPr>
          <w:p w14:paraId="1AE7CA68" w14:textId="150629C4" w:rsidR="00A36596" w:rsidRDefault="002E693F">
            <w:pPr>
              <w:rPr>
                <w:lang w:val="en-US"/>
              </w:rPr>
            </w:pPr>
            <w:r w:rsidRPr="5DFCCB07">
              <w:rPr>
                <w:lang w:val="en-US"/>
              </w:rPr>
              <w:t xml:space="preserve">Funding to implement AMC Healthy Prisons Review recommendations including implementing universal design in ACT correctional facilities and more timely access to functional assessments – Funding to implement recommendations from pillar 4 of the R25 by 25 Recidivism Strategy including transitional services to support correctional detainees with disability re-enter the community, the transitional </w:t>
            </w:r>
            <w:r w:rsidR="04722DB5" w:rsidRPr="5DFCCB07">
              <w:rPr>
                <w:lang w:val="en-US"/>
              </w:rPr>
              <w:t>center</w:t>
            </w:r>
            <w:r w:rsidRPr="5DFCCB07">
              <w:rPr>
                <w:lang w:val="en-US"/>
              </w:rPr>
              <w:t xml:space="preserve"> and to implement the promised ACT Corrections Disability Framework.</w:t>
            </w:r>
          </w:p>
        </w:tc>
        <w:tc>
          <w:tcPr>
            <w:tcW w:w="4111" w:type="dxa"/>
            <w:shd w:val="clear" w:color="auto" w:fill="F3F3F3"/>
          </w:tcPr>
          <w:p w14:paraId="494CB286" w14:textId="5B930ECC" w:rsidR="00A36596" w:rsidRDefault="006F5DA1">
            <w:pPr>
              <w:rPr>
                <w:lang w:val="en-US"/>
              </w:rPr>
            </w:pPr>
            <w:r>
              <w:rPr>
                <w:lang w:val="en-US"/>
              </w:rPr>
              <w:t xml:space="preserve">People with disability are over-represented at all stages of the criminal justice system – as witnesses, victims, offenders, defendants, and prisoners. The </w:t>
            </w:r>
            <w:hyperlink r:id="rId34" w:history="1">
              <w:r w:rsidRPr="000E5335">
                <w:rPr>
                  <w:rStyle w:val="Hyperlink"/>
                  <w:lang w:val="en-US"/>
                </w:rPr>
                <w:t>Healthy Prison Review 2022</w:t>
              </w:r>
            </w:hyperlink>
            <w:r>
              <w:rPr>
                <w:lang w:val="en-US"/>
              </w:rPr>
              <w:t xml:space="preserve"> reported nearly one third of AMC detainees as having a disability and highlighted the need for services and adequate disability support.</w:t>
            </w:r>
          </w:p>
        </w:tc>
      </w:tr>
      <w:tr w:rsidR="00A36596" w14:paraId="5E07BB2B" w14:textId="77777777" w:rsidTr="00EE6066">
        <w:tc>
          <w:tcPr>
            <w:tcW w:w="2766" w:type="dxa"/>
            <w:vMerge/>
            <w:shd w:val="clear" w:color="auto" w:fill="F3F3F3"/>
          </w:tcPr>
          <w:p w14:paraId="7AE73B51" w14:textId="77777777" w:rsidR="00A36596" w:rsidRDefault="00A36596" w:rsidP="00BB38A7">
            <w:pPr>
              <w:rPr>
                <w:lang w:val="en-US"/>
              </w:rPr>
            </w:pPr>
          </w:p>
        </w:tc>
        <w:tc>
          <w:tcPr>
            <w:tcW w:w="2785" w:type="dxa"/>
            <w:shd w:val="clear" w:color="auto" w:fill="F3F3F3"/>
          </w:tcPr>
          <w:p w14:paraId="13DB9E05" w14:textId="4834BF1E" w:rsidR="00A36596" w:rsidRDefault="00A36596" w:rsidP="00BB38A7">
            <w:pPr>
              <w:rPr>
                <w:lang w:val="en-US"/>
              </w:rPr>
            </w:pPr>
            <w:r>
              <w:rPr>
                <w:lang w:val="en-US"/>
              </w:rPr>
              <w:t>Recidivism</w:t>
            </w:r>
            <w:r w:rsidR="0017521E">
              <w:rPr>
                <w:lang w:val="en-US"/>
              </w:rPr>
              <w:t xml:space="preserve">, </w:t>
            </w:r>
            <w:r w:rsidR="00EC10C1">
              <w:rPr>
                <w:lang w:val="en-US"/>
              </w:rPr>
              <w:t xml:space="preserve">rehabilitation and corrections </w:t>
            </w:r>
          </w:p>
        </w:tc>
        <w:tc>
          <w:tcPr>
            <w:tcW w:w="4225" w:type="dxa"/>
            <w:shd w:val="clear" w:color="auto" w:fill="F3F3F3"/>
          </w:tcPr>
          <w:p w14:paraId="33DAC8E2" w14:textId="773B8CBB" w:rsidR="00A36596" w:rsidRDefault="00A36596" w:rsidP="000A7616">
            <w:pPr>
              <w:rPr>
                <w:lang w:val="en-US"/>
              </w:rPr>
            </w:pPr>
            <w:r>
              <w:rPr>
                <w:lang w:val="en-US"/>
              </w:rPr>
              <w:t>F</w:t>
            </w:r>
            <w:r w:rsidRPr="00BB38A7">
              <w:rPr>
                <w:lang w:val="en-US"/>
              </w:rPr>
              <w:t>unding for transitional services outlined in the R25 by 25 recidivism strategy</w:t>
            </w:r>
          </w:p>
          <w:p w14:paraId="7F634249" w14:textId="00DDA6D5" w:rsidR="00A36596" w:rsidRPr="00BB38A7" w:rsidRDefault="00A36596" w:rsidP="00BB38A7">
            <w:pPr>
              <w:rPr>
                <w:lang w:val="en-US"/>
              </w:rPr>
            </w:pPr>
            <w:bookmarkStart w:id="0" w:name="_Int_XZUU2LIT"/>
            <w:r w:rsidRPr="5DFCCB07">
              <w:rPr>
                <w:lang w:val="en-US"/>
              </w:rPr>
              <w:t>In particular funding</w:t>
            </w:r>
            <w:bookmarkEnd w:id="0"/>
            <w:r w:rsidRPr="5DFCCB07">
              <w:rPr>
                <w:lang w:val="en-US"/>
              </w:rPr>
              <w:t xml:space="preserve"> to develop the purpose-built rehabilitation </w:t>
            </w:r>
            <w:r w:rsidR="30380664" w:rsidRPr="5DFCCB07">
              <w:rPr>
                <w:lang w:val="en-US"/>
              </w:rPr>
              <w:t>center</w:t>
            </w:r>
            <w:r w:rsidRPr="5DFCCB07">
              <w:rPr>
                <w:lang w:val="en-US"/>
              </w:rPr>
              <w:t xml:space="preserve">, transitional services, </w:t>
            </w:r>
          </w:p>
          <w:p w14:paraId="6B49E893" w14:textId="75005680" w:rsidR="00A36596" w:rsidRDefault="00A36596" w:rsidP="00BB38A7">
            <w:pPr>
              <w:rPr>
                <w:lang w:val="en-US"/>
              </w:rPr>
            </w:pPr>
            <w:r w:rsidRPr="00BB38A7">
              <w:rPr>
                <w:lang w:val="en-US"/>
              </w:rPr>
              <w:t xml:space="preserve">and </w:t>
            </w:r>
            <w:r>
              <w:rPr>
                <w:lang w:val="en-US"/>
              </w:rPr>
              <w:t xml:space="preserve">implement </w:t>
            </w:r>
            <w:r w:rsidRPr="00BB38A7">
              <w:rPr>
                <w:lang w:val="en-US"/>
              </w:rPr>
              <w:t>the ACT corrections disability framework</w:t>
            </w:r>
          </w:p>
        </w:tc>
        <w:tc>
          <w:tcPr>
            <w:tcW w:w="4111" w:type="dxa"/>
            <w:shd w:val="clear" w:color="auto" w:fill="F3F3F3"/>
          </w:tcPr>
          <w:p w14:paraId="0D6C498A" w14:textId="7403BA8B" w:rsidR="00A36596" w:rsidRDefault="00052AD4" w:rsidP="00BB38A7">
            <w:pPr>
              <w:rPr>
                <w:lang w:val="en-US"/>
              </w:rPr>
            </w:pPr>
            <w:r>
              <w:rPr>
                <w:lang w:val="en-US"/>
              </w:rPr>
              <w:t>Offenders with disability are more vulnerable to extended</w:t>
            </w:r>
            <w:r w:rsidR="00A57990">
              <w:rPr>
                <w:lang w:val="en-US"/>
              </w:rPr>
              <w:t xml:space="preserve"> and repeat incarceration</w:t>
            </w:r>
            <w:r w:rsidR="001028FF">
              <w:rPr>
                <w:lang w:val="en-US"/>
              </w:rPr>
              <w:t xml:space="preserve"> (</w:t>
            </w:r>
            <w:hyperlink r:id="rId35" w:history="1">
              <w:r w:rsidR="001028FF" w:rsidRPr="00844B0D">
                <w:rPr>
                  <w:rStyle w:val="Hyperlink"/>
                  <w:lang w:val="en-US"/>
                </w:rPr>
                <w:t>Baldry</w:t>
              </w:r>
              <w:r w:rsidR="00844B0D" w:rsidRPr="00844B0D">
                <w:rPr>
                  <w:rStyle w:val="Hyperlink"/>
                  <w:lang w:val="en-US"/>
                </w:rPr>
                <w:t xml:space="preserve"> et al., 2012</w:t>
              </w:r>
            </w:hyperlink>
            <w:r w:rsidR="00844B0D">
              <w:rPr>
                <w:lang w:val="en-US"/>
              </w:rPr>
              <w:t>)</w:t>
            </w:r>
            <w:r w:rsidR="00A57990">
              <w:rPr>
                <w:lang w:val="en-US"/>
              </w:rPr>
              <w:t xml:space="preserve">. </w:t>
            </w:r>
            <w:r w:rsidR="00ED110F">
              <w:rPr>
                <w:lang w:val="en-US"/>
              </w:rPr>
              <w:t xml:space="preserve">The ACT has </w:t>
            </w:r>
            <w:r w:rsidR="0090121C">
              <w:rPr>
                <w:lang w:val="en-US"/>
              </w:rPr>
              <w:t xml:space="preserve">the highest rate of recidivism in Australia. </w:t>
            </w:r>
            <w:r w:rsidR="00F75F53">
              <w:rPr>
                <w:lang w:val="en-US"/>
              </w:rPr>
              <w:t>Inadequate disability support is linked to cycles of offending and reincarceration for people with disability (</w:t>
            </w:r>
            <w:hyperlink r:id="rId36" w:history="1">
              <w:r w:rsidR="0043341C" w:rsidRPr="0043341C">
                <w:rPr>
                  <w:rStyle w:val="Hyperlink"/>
                  <w:lang w:val="en-US"/>
                </w:rPr>
                <w:t>Doyle et al., 2022</w:t>
              </w:r>
            </w:hyperlink>
            <w:r w:rsidR="0043341C">
              <w:rPr>
                <w:lang w:val="en-US"/>
              </w:rPr>
              <w:t xml:space="preserve">). </w:t>
            </w:r>
          </w:p>
        </w:tc>
      </w:tr>
      <w:tr w:rsidR="00A36596" w14:paraId="181E1EA1" w14:textId="77777777" w:rsidTr="00EE6066">
        <w:tc>
          <w:tcPr>
            <w:tcW w:w="2766" w:type="dxa"/>
            <w:vMerge/>
            <w:shd w:val="clear" w:color="auto" w:fill="F3F3F3"/>
          </w:tcPr>
          <w:p w14:paraId="14F700F2" w14:textId="77777777" w:rsidR="00A36596" w:rsidRDefault="00A36596" w:rsidP="00BB38A7">
            <w:pPr>
              <w:rPr>
                <w:lang w:val="en-US"/>
              </w:rPr>
            </w:pPr>
          </w:p>
        </w:tc>
        <w:tc>
          <w:tcPr>
            <w:tcW w:w="2785" w:type="dxa"/>
            <w:shd w:val="clear" w:color="auto" w:fill="F3F3F3"/>
          </w:tcPr>
          <w:p w14:paraId="62EC0819" w14:textId="2B8277E9" w:rsidR="00A36596" w:rsidRDefault="00A36596" w:rsidP="00BB38A7">
            <w:pPr>
              <w:rPr>
                <w:lang w:val="en-US"/>
              </w:rPr>
            </w:pPr>
            <w:r w:rsidRPr="5DFCCB07">
              <w:rPr>
                <w:lang w:val="en-US"/>
              </w:rPr>
              <w:t>Fund a proper O</w:t>
            </w:r>
            <w:r w:rsidR="5AB60D66" w:rsidRPr="5DFCCB07">
              <w:rPr>
                <w:lang w:val="en-US"/>
              </w:rPr>
              <w:t>PCAT</w:t>
            </w:r>
            <w:r w:rsidRPr="5DFCCB07">
              <w:rPr>
                <w:lang w:val="en-US"/>
              </w:rPr>
              <w:t xml:space="preserve"> mechanism </w:t>
            </w:r>
          </w:p>
        </w:tc>
        <w:tc>
          <w:tcPr>
            <w:tcW w:w="4225" w:type="dxa"/>
            <w:shd w:val="clear" w:color="auto" w:fill="F3F3F3"/>
          </w:tcPr>
          <w:p w14:paraId="638BCBDB" w14:textId="5478D8FD" w:rsidR="00A36596" w:rsidRPr="00BB38A7" w:rsidRDefault="00A36596" w:rsidP="00BB38A7">
            <w:pPr>
              <w:rPr>
                <w:lang w:val="en-US"/>
              </w:rPr>
            </w:pPr>
            <w:r>
              <w:rPr>
                <w:lang w:val="en-US"/>
              </w:rPr>
              <w:t>F</w:t>
            </w:r>
            <w:r w:rsidRPr="00BB38A7">
              <w:rPr>
                <w:lang w:val="en-US"/>
              </w:rPr>
              <w:t xml:space="preserve">unding of National Preventative </w:t>
            </w:r>
          </w:p>
          <w:p w14:paraId="13FF8C2A" w14:textId="3DEB1AC0" w:rsidR="00A36596" w:rsidRDefault="00A36596" w:rsidP="00BB38A7">
            <w:pPr>
              <w:rPr>
                <w:lang w:val="en-US"/>
              </w:rPr>
            </w:pPr>
            <w:r w:rsidRPr="00BB38A7">
              <w:rPr>
                <w:lang w:val="en-US"/>
              </w:rPr>
              <w:t>Mechanisms to carry out OPCAT functions</w:t>
            </w:r>
            <w:r>
              <w:rPr>
                <w:lang w:val="en-US"/>
              </w:rPr>
              <w:t xml:space="preserve"> (funding for work beyond a staff position)</w:t>
            </w:r>
          </w:p>
        </w:tc>
        <w:tc>
          <w:tcPr>
            <w:tcW w:w="4111" w:type="dxa"/>
            <w:shd w:val="clear" w:color="auto" w:fill="F3F3F3"/>
          </w:tcPr>
          <w:p w14:paraId="6F781BDE" w14:textId="77777777" w:rsidR="00A36596" w:rsidRDefault="00103EFF" w:rsidP="00BB38A7">
            <w:pPr>
              <w:rPr>
                <w:lang w:val="en-US"/>
              </w:rPr>
            </w:pPr>
            <w:r>
              <w:rPr>
                <w:lang w:val="en-US"/>
              </w:rPr>
              <w:t xml:space="preserve">Without adequate </w:t>
            </w:r>
            <w:r w:rsidR="0099799B">
              <w:rPr>
                <w:lang w:val="en-US"/>
              </w:rPr>
              <w:t>resourcing, NPM bodies remain reliant on a complaints-based approach, responding to issues only as they arise. This reliance on a reactive approach is an established issue within anti-discrimination frameworks within Australia</w:t>
            </w:r>
            <w:r w:rsidR="00084CFF">
              <w:rPr>
                <w:lang w:val="en-US"/>
              </w:rPr>
              <w:t xml:space="preserve"> (see e.g., </w:t>
            </w:r>
            <w:hyperlink r:id="rId37" w:history="1">
              <w:r w:rsidR="00084CFF" w:rsidRPr="00872109">
                <w:rPr>
                  <w:rStyle w:val="Hyperlink"/>
                  <w:lang w:val="en-US"/>
                </w:rPr>
                <w:t>Fredrickson et al., 2019</w:t>
              </w:r>
            </w:hyperlink>
            <w:r w:rsidR="00084CFF">
              <w:rPr>
                <w:lang w:val="en-US"/>
              </w:rPr>
              <w:t>)</w:t>
            </w:r>
            <w:r w:rsidR="0099799B">
              <w:rPr>
                <w:lang w:val="en-US"/>
              </w:rPr>
              <w:t xml:space="preserve">. </w:t>
            </w:r>
          </w:p>
          <w:p w14:paraId="2F5BE36D" w14:textId="77777777" w:rsidR="008377D9" w:rsidRDefault="008377D9" w:rsidP="00BB38A7">
            <w:pPr>
              <w:rPr>
                <w:lang w:val="en-US"/>
              </w:rPr>
            </w:pPr>
          </w:p>
          <w:p w14:paraId="2AF2796F" w14:textId="77777777" w:rsidR="008377D9" w:rsidRDefault="008377D9" w:rsidP="00BB38A7">
            <w:pPr>
              <w:rPr>
                <w:lang w:val="en-US"/>
              </w:rPr>
            </w:pPr>
          </w:p>
          <w:p w14:paraId="532460C3" w14:textId="77777777" w:rsidR="008377D9" w:rsidRDefault="008377D9" w:rsidP="00BB38A7">
            <w:pPr>
              <w:rPr>
                <w:lang w:val="en-US"/>
              </w:rPr>
            </w:pPr>
          </w:p>
          <w:p w14:paraId="4DB0DC02" w14:textId="33295165" w:rsidR="008377D9" w:rsidRDefault="008377D9" w:rsidP="00BB38A7">
            <w:pPr>
              <w:rPr>
                <w:lang w:val="en-US"/>
              </w:rPr>
            </w:pPr>
          </w:p>
        </w:tc>
      </w:tr>
      <w:tr w:rsidR="00A36596" w14:paraId="25591C62" w14:textId="77777777" w:rsidTr="5DFCCB07">
        <w:tc>
          <w:tcPr>
            <w:tcW w:w="2766" w:type="dxa"/>
            <w:vMerge w:val="restart"/>
          </w:tcPr>
          <w:p w14:paraId="719B117A" w14:textId="77777777" w:rsidR="00A36596" w:rsidRDefault="00A36596" w:rsidP="00BB38A7">
            <w:pPr>
              <w:rPr>
                <w:b/>
                <w:bCs/>
                <w:lang w:val="en-US"/>
              </w:rPr>
            </w:pPr>
            <w:r w:rsidRPr="007B70F6">
              <w:rPr>
                <w:b/>
                <w:bCs/>
                <w:lang w:val="en-US"/>
              </w:rPr>
              <w:lastRenderedPageBreak/>
              <w:t>Education</w:t>
            </w:r>
          </w:p>
          <w:p w14:paraId="76536BBF" w14:textId="77777777" w:rsidR="00E60C0A" w:rsidRDefault="00E60C0A" w:rsidP="00BB38A7">
            <w:pPr>
              <w:rPr>
                <w:b/>
                <w:bCs/>
                <w:lang w:val="en-US"/>
              </w:rPr>
            </w:pPr>
          </w:p>
          <w:p w14:paraId="2041DAB3" w14:textId="77777777" w:rsidR="00E60C0A" w:rsidRDefault="00E60C0A" w:rsidP="00BB38A7">
            <w:pPr>
              <w:rPr>
                <w:i/>
                <w:iCs/>
                <w:lang w:val="en-US"/>
              </w:rPr>
            </w:pPr>
            <w:r w:rsidRPr="00725604">
              <w:rPr>
                <w:i/>
                <w:iCs/>
                <w:lang w:val="en-US"/>
              </w:rPr>
              <w:t>A funding package to improve outcomes for students with disability, deliver the ACT Inclusive Education Strategy</w:t>
            </w:r>
            <w:r w:rsidR="00776CF3" w:rsidRPr="00725604">
              <w:rPr>
                <w:i/>
                <w:iCs/>
                <w:lang w:val="en-US"/>
              </w:rPr>
              <w:t xml:space="preserve"> and </w:t>
            </w:r>
            <w:r w:rsidRPr="00725604">
              <w:rPr>
                <w:i/>
                <w:iCs/>
                <w:lang w:val="en-US"/>
              </w:rPr>
              <w:t>improve universal design</w:t>
            </w:r>
          </w:p>
          <w:p w14:paraId="729DA9A3" w14:textId="77777777" w:rsidR="002F4AE6" w:rsidRDefault="002F4AE6" w:rsidP="00BB38A7">
            <w:pPr>
              <w:rPr>
                <w:i/>
                <w:iCs/>
                <w:lang w:val="en-US"/>
              </w:rPr>
            </w:pPr>
          </w:p>
          <w:p w14:paraId="2581D471" w14:textId="77777777" w:rsidR="002F4AE6" w:rsidRDefault="002F4AE6" w:rsidP="002F4AE6">
            <w:pPr>
              <w:rPr>
                <w:i/>
                <w:iCs/>
                <w:lang w:val="en-US"/>
              </w:rPr>
            </w:pPr>
          </w:p>
          <w:p w14:paraId="00BFC135" w14:textId="76DFC5B7" w:rsidR="002F4AE6" w:rsidRPr="0002005E" w:rsidRDefault="002F4AE6" w:rsidP="002F4AE6">
            <w:pPr>
              <w:rPr>
                <w:sz w:val="20"/>
                <w:szCs w:val="20"/>
                <w:lang w:val="en-US"/>
              </w:rPr>
            </w:pPr>
            <w:r w:rsidRPr="0002005E">
              <w:rPr>
                <w:sz w:val="20"/>
                <w:szCs w:val="20"/>
                <w:lang w:val="en-US"/>
              </w:rPr>
              <w:t xml:space="preserve">Supports delivery of outcomes under Wellbeing Indicator </w:t>
            </w:r>
            <w:hyperlink r:id="rId38" w:history="1">
              <w:r w:rsidR="00E018FC" w:rsidRPr="004B61CA">
                <w:rPr>
                  <w:rStyle w:val="Hyperlink"/>
                  <w:sz w:val="20"/>
                  <w:szCs w:val="20"/>
                  <w:lang w:val="en-US"/>
                </w:rPr>
                <w:t>Equity of educational outcomes</w:t>
              </w:r>
            </w:hyperlink>
            <w:r w:rsidR="0029535D">
              <w:rPr>
                <w:sz w:val="20"/>
                <w:szCs w:val="20"/>
                <w:lang w:val="en-US"/>
              </w:rPr>
              <w:t xml:space="preserve">, </w:t>
            </w:r>
            <w:hyperlink r:id="rId39" w:history="1">
              <w:r w:rsidR="0029535D" w:rsidRPr="00016EBC">
                <w:rPr>
                  <w:rStyle w:val="Hyperlink"/>
                  <w:sz w:val="20"/>
                  <w:szCs w:val="20"/>
                  <w:lang w:val="en-US"/>
                </w:rPr>
                <w:t>Learning for life,</w:t>
              </w:r>
            </w:hyperlink>
            <w:r w:rsidR="0029535D">
              <w:rPr>
                <w:sz w:val="20"/>
                <w:szCs w:val="20"/>
                <w:lang w:val="en-US"/>
              </w:rPr>
              <w:t xml:space="preserve"> and </w:t>
            </w:r>
            <w:hyperlink r:id="rId40" w:history="1">
              <w:r w:rsidR="00334C63" w:rsidRPr="00334C63">
                <w:rPr>
                  <w:rStyle w:val="Hyperlink"/>
                  <w:sz w:val="20"/>
                  <w:szCs w:val="20"/>
                  <w:lang w:val="en-US"/>
                </w:rPr>
                <w:t>Student belonging</w:t>
              </w:r>
            </w:hyperlink>
            <w:r w:rsidR="00334C63">
              <w:rPr>
                <w:sz w:val="20"/>
                <w:szCs w:val="20"/>
                <w:lang w:val="en-US"/>
              </w:rPr>
              <w:t xml:space="preserve"> </w:t>
            </w:r>
          </w:p>
          <w:p w14:paraId="5763ACAC" w14:textId="77777777" w:rsidR="002F4AE6" w:rsidRPr="0002005E" w:rsidRDefault="002F4AE6" w:rsidP="002F4AE6">
            <w:pPr>
              <w:rPr>
                <w:i/>
                <w:iCs/>
                <w:sz w:val="20"/>
                <w:szCs w:val="20"/>
                <w:lang w:val="en-US"/>
              </w:rPr>
            </w:pPr>
          </w:p>
          <w:p w14:paraId="5EA0A11C" w14:textId="2956DC2E" w:rsidR="002F4AE6" w:rsidRPr="00725604" w:rsidRDefault="002F4AE6" w:rsidP="002F4AE6">
            <w:pPr>
              <w:rPr>
                <w:i/>
                <w:iCs/>
                <w:lang w:val="en-US"/>
              </w:rPr>
            </w:pPr>
            <w:r w:rsidRPr="0002005E">
              <w:rPr>
                <w:sz w:val="20"/>
                <w:szCs w:val="20"/>
                <w:lang w:val="en-US"/>
              </w:rPr>
              <w:t xml:space="preserve">Enables compliance with CRPD </w:t>
            </w:r>
            <w:hyperlink r:id="rId41" w:history="1">
              <w:r w:rsidRPr="00AE2898">
                <w:rPr>
                  <w:rStyle w:val="Hyperlink"/>
                  <w:sz w:val="20"/>
                  <w:szCs w:val="20"/>
                  <w:lang w:val="en-US"/>
                </w:rPr>
                <w:t xml:space="preserve">Article </w:t>
              </w:r>
              <w:r w:rsidR="00B425B3" w:rsidRPr="00AE2898">
                <w:rPr>
                  <w:rStyle w:val="Hyperlink"/>
                  <w:sz w:val="20"/>
                  <w:szCs w:val="20"/>
                  <w:lang w:val="en-US"/>
                </w:rPr>
                <w:t>24 - Education</w:t>
              </w:r>
            </w:hyperlink>
          </w:p>
        </w:tc>
        <w:tc>
          <w:tcPr>
            <w:tcW w:w="2785" w:type="dxa"/>
          </w:tcPr>
          <w:p w14:paraId="5351A6C2" w14:textId="121C809E" w:rsidR="00A36596" w:rsidRDefault="00A36596" w:rsidP="00BB38A7">
            <w:pPr>
              <w:rPr>
                <w:lang w:val="en-US"/>
              </w:rPr>
            </w:pPr>
            <w:r>
              <w:rPr>
                <w:lang w:val="en-US"/>
              </w:rPr>
              <w:t xml:space="preserve">Funding to implement the ACT Inclusive Education Strategy and a full transition to inclusive education </w:t>
            </w:r>
          </w:p>
        </w:tc>
        <w:tc>
          <w:tcPr>
            <w:tcW w:w="4225" w:type="dxa"/>
          </w:tcPr>
          <w:p w14:paraId="7E77366A" w14:textId="314950A8" w:rsidR="00A36596" w:rsidRDefault="00B964F6" w:rsidP="00BB38A7">
            <w:pPr>
              <w:rPr>
                <w:lang w:val="en-US"/>
              </w:rPr>
            </w:pPr>
            <w:r>
              <w:rPr>
                <w:lang w:val="en-US"/>
              </w:rPr>
              <w:t xml:space="preserve">The ACT Education Directorate is implementing an Inclusive Education Strategy </w:t>
            </w:r>
            <w:r w:rsidR="003628CF">
              <w:rPr>
                <w:lang w:val="en-US"/>
              </w:rPr>
              <w:t xml:space="preserve">and we seek funding to deliver and monitor and evaluate the strategy </w:t>
            </w:r>
          </w:p>
        </w:tc>
        <w:tc>
          <w:tcPr>
            <w:tcW w:w="4111" w:type="dxa"/>
          </w:tcPr>
          <w:p w14:paraId="3E6F8DD3" w14:textId="411EA331" w:rsidR="00A36596" w:rsidRDefault="008F5CC3" w:rsidP="00BB38A7">
            <w:pPr>
              <w:rPr>
                <w:lang w:val="en-US"/>
              </w:rPr>
            </w:pPr>
            <w:r>
              <w:rPr>
                <w:lang w:val="en-US"/>
              </w:rPr>
              <w:t xml:space="preserve">Too many students with disability experience barriers to education, poor completion and harm within education settings. </w:t>
            </w:r>
            <w:r w:rsidR="00C94C3F">
              <w:rPr>
                <w:lang w:val="en-US"/>
              </w:rPr>
              <w:t xml:space="preserve">Social inclusion is linked to education. </w:t>
            </w:r>
            <w:r w:rsidR="00D334E5">
              <w:rPr>
                <w:lang w:val="en-US"/>
              </w:rPr>
              <w:t xml:space="preserve">Without an adequate inclusive education system, the rights of people with disability to education remains nominal and they are denied meaningful opportunities for social and economic inclusion. </w:t>
            </w:r>
            <w:r w:rsidR="006262AE">
              <w:rPr>
                <w:lang w:val="en-US"/>
              </w:rPr>
              <w:t xml:space="preserve"> The ACT has an over-representation of students in segregated settings.  Investment in this area is needed to deliver outcomes through the ACT Inclusive Education Strategy.  See also AFI’s </w:t>
            </w:r>
            <w:hyperlink r:id="rId42" w:history="1">
              <w:r w:rsidR="006262AE" w:rsidRPr="00E21EA5">
                <w:rPr>
                  <w:rStyle w:val="Hyperlink"/>
                  <w:lang w:val="en-US"/>
                </w:rPr>
                <w:t xml:space="preserve">White Paper </w:t>
              </w:r>
              <w:r w:rsidR="005F1402" w:rsidRPr="00E21EA5">
                <w:rPr>
                  <w:rStyle w:val="Hyperlink"/>
                  <w:lang w:val="en-US"/>
                </w:rPr>
                <w:t>on Education</w:t>
              </w:r>
            </w:hyperlink>
            <w:r w:rsidR="005F1402">
              <w:rPr>
                <w:lang w:val="en-US"/>
              </w:rPr>
              <w:t xml:space="preserve">.  </w:t>
            </w:r>
          </w:p>
        </w:tc>
      </w:tr>
      <w:tr w:rsidR="00A36596" w14:paraId="4D0E4B8C" w14:textId="77777777" w:rsidTr="5DFCCB07">
        <w:tc>
          <w:tcPr>
            <w:tcW w:w="2766" w:type="dxa"/>
            <w:vMerge/>
          </w:tcPr>
          <w:p w14:paraId="4DAAB76D" w14:textId="77777777" w:rsidR="00A36596" w:rsidRDefault="00A36596" w:rsidP="00BB38A7">
            <w:pPr>
              <w:rPr>
                <w:lang w:val="en-US"/>
              </w:rPr>
            </w:pPr>
          </w:p>
        </w:tc>
        <w:tc>
          <w:tcPr>
            <w:tcW w:w="2785" w:type="dxa"/>
          </w:tcPr>
          <w:p w14:paraId="294BB035" w14:textId="66AE76BC" w:rsidR="00A36596" w:rsidRDefault="00A36596" w:rsidP="00BB38A7">
            <w:pPr>
              <w:rPr>
                <w:lang w:val="en-US"/>
              </w:rPr>
            </w:pPr>
            <w:r>
              <w:rPr>
                <w:lang w:val="en-US"/>
              </w:rPr>
              <w:t xml:space="preserve">Universal design of curricula, physical and digital spaces </w:t>
            </w:r>
          </w:p>
        </w:tc>
        <w:tc>
          <w:tcPr>
            <w:tcW w:w="4225" w:type="dxa"/>
          </w:tcPr>
          <w:p w14:paraId="57B3B266" w14:textId="4A676410" w:rsidR="00A36596" w:rsidRDefault="00920035" w:rsidP="00BB38A7">
            <w:pPr>
              <w:rPr>
                <w:lang w:val="en-US"/>
              </w:rPr>
            </w:pPr>
            <w:r>
              <w:rPr>
                <w:lang w:val="en-US"/>
              </w:rPr>
              <w:t xml:space="preserve">Funding to deliver universally designed curricula, physical and digital spaces.  </w:t>
            </w:r>
          </w:p>
        </w:tc>
        <w:tc>
          <w:tcPr>
            <w:tcW w:w="4111" w:type="dxa"/>
          </w:tcPr>
          <w:p w14:paraId="304D49EB" w14:textId="418BE120" w:rsidR="00C02B6F" w:rsidRDefault="00535A13" w:rsidP="00BB38A7">
            <w:pPr>
              <w:rPr>
                <w:lang w:val="en-US"/>
              </w:rPr>
            </w:pPr>
            <w:r>
              <w:rPr>
                <w:lang w:val="en-US"/>
              </w:rPr>
              <w:t>There are benefits where</w:t>
            </w:r>
            <w:r w:rsidR="00D14309">
              <w:rPr>
                <w:lang w:val="en-US"/>
              </w:rPr>
              <w:t xml:space="preserve"> </w:t>
            </w:r>
            <w:r w:rsidR="009D52C4">
              <w:rPr>
                <w:lang w:val="en-US"/>
              </w:rPr>
              <w:t>systems, processes and services are designed with improved accessibility for all students, parents and carers, regardless of whether or not disability is identified. This will increase accessibility for people with misdiagnosed or unrecogni</w:t>
            </w:r>
            <w:r w:rsidR="00D237D1">
              <w:rPr>
                <w:lang w:val="en-US"/>
              </w:rPr>
              <w:t>s</w:t>
            </w:r>
            <w:r w:rsidR="009D52C4">
              <w:rPr>
                <w:lang w:val="en-US"/>
              </w:rPr>
              <w:t xml:space="preserve">ed support needs and reduce the onus on people with disability to disclose their support needs. </w:t>
            </w:r>
            <w:r w:rsidR="00E00DF2">
              <w:rPr>
                <w:lang w:val="en-US"/>
              </w:rPr>
              <w:t xml:space="preserve">There is </w:t>
            </w:r>
            <w:r w:rsidR="009E18D2">
              <w:rPr>
                <w:lang w:val="en-US"/>
              </w:rPr>
              <w:t xml:space="preserve">a need for continued effort to retrofit all existing physical, digital, and learning infrastructure to meet universal design requirements. </w:t>
            </w:r>
            <w:r w:rsidR="00920035">
              <w:rPr>
                <w:lang w:val="en-US"/>
              </w:rPr>
              <w:t xml:space="preserve">  </w:t>
            </w:r>
          </w:p>
          <w:p w14:paraId="23CFE865" w14:textId="2911F0BD" w:rsidR="00A36596" w:rsidRDefault="000F1591" w:rsidP="00BB38A7">
            <w:pPr>
              <w:rPr>
                <w:lang w:val="en-US"/>
              </w:rPr>
            </w:pPr>
            <w:r>
              <w:rPr>
                <w:lang w:val="en-US"/>
              </w:rPr>
              <w:t>In 2021 ACTCOSS told the Schools Infrastructure Inquiry they</w:t>
            </w:r>
            <w:r w:rsidRPr="000F1591">
              <w:rPr>
                <w:lang w:val="en-US"/>
              </w:rPr>
              <w:t xml:space="preserve"> received data from the ACT Electoral Commission that showed none of the 62 schools that were </w:t>
            </w:r>
            <w:r w:rsidRPr="000F1591">
              <w:rPr>
                <w:lang w:val="en-US"/>
              </w:rPr>
              <w:lastRenderedPageBreak/>
              <w:t>used as polling places were accessible without assistance.</w:t>
            </w:r>
          </w:p>
        </w:tc>
      </w:tr>
      <w:tr w:rsidR="00A36596" w14:paraId="2329205F" w14:textId="77777777" w:rsidTr="00EE6066">
        <w:tc>
          <w:tcPr>
            <w:tcW w:w="2766" w:type="dxa"/>
            <w:vMerge/>
            <w:tcBorders>
              <w:bottom w:val="single" w:sz="4" w:space="0" w:color="auto"/>
            </w:tcBorders>
          </w:tcPr>
          <w:p w14:paraId="1CFA5A85" w14:textId="77777777" w:rsidR="00A36596" w:rsidRDefault="00A36596" w:rsidP="00BB38A7">
            <w:pPr>
              <w:rPr>
                <w:lang w:val="en-US"/>
              </w:rPr>
            </w:pPr>
          </w:p>
        </w:tc>
        <w:tc>
          <w:tcPr>
            <w:tcW w:w="2785" w:type="dxa"/>
            <w:tcBorders>
              <w:bottom w:val="single" w:sz="4" w:space="0" w:color="auto"/>
            </w:tcBorders>
          </w:tcPr>
          <w:p w14:paraId="4B6F6746" w14:textId="54529FE7" w:rsidR="00A36596" w:rsidRDefault="00A36596" w:rsidP="00BB38A7">
            <w:pPr>
              <w:rPr>
                <w:lang w:val="en-US"/>
              </w:rPr>
            </w:pPr>
            <w:r>
              <w:rPr>
                <w:lang w:val="en-US"/>
              </w:rPr>
              <w:t xml:space="preserve">Increase per student disability loading </w:t>
            </w:r>
          </w:p>
        </w:tc>
        <w:tc>
          <w:tcPr>
            <w:tcW w:w="4225" w:type="dxa"/>
            <w:tcBorders>
              <w:bottom w:val="single" w:sz="4" w:space="0" w:color="auto"/>
            </w:tcBorders>
          </w:tcPr>
          <w:p w14:paraId="0BD9C2CC" w14:textId="77777777" w:rsidR="00A36596" w:rsidRDefault="00A36596" w:rsidP="00BB38A7">
            <w:pPr>
              <w:rPr>
                <w:lang w:val="en-US"/>
              </w:rPr>
            </w:pPr>
          </w:p>
        </w:tc>
        <w:tc>
          <w:tcPr>
            <w:tcW w:w="4111" w:type="dxa"/>
            <w:tcBorders>
              <w:bottom w:val="single" w:sz="4" w:space="0" w:color="auto"/>
            </w:tcBorders>
          </w:tcPr>
          <w:p w14:paraId="3C12C1D5" w14:textId="2EE4F330" w:rsidR="00A36596" w:rsidRDefault="00376E4A" w:rsidP="00BB38A7">
            <w:pPr>
              <w:rPr>
                <w:lang w:val="en-US"/>
              </w:rPr>
            </w:pPr>
            <w:r>
              <w:rPr>
                <w:lang w:val="en-US"/>
              </w:rPr>
              <w:t xml:space="preserve">Students and teachers need to be adequately supported to ensure quality, inclusive education. </w:t>
            </w:r>
            <w:r w:rsidR="00503964">
              <w:rPr>
                <w:lang w:val="en-US"/>
              </w:rPr>
              <w:t xml:space="preserve">Supports include assistive technology or one-on-one behavioural, social, and academic supports where appropriate. </w:t>
            </w:r>
            <w:r w:rsidR="009525EC">
              <w:rPr>
                <w:lang w:val="en-US"/>
              </w:rPr>
              <w:t xml:space="preserve">Increases to disability loading </w:t>
            </w:r>
            <w:r w:rsidR="00AA70D5">
              <w:rPr>
                <w:lang w:val="en-US"/>
              </w:rPr>
              <w:t>must not create</w:t>
            </w:r>
            <w:r w:rsidR="007E214E">
              <w:rPr>
                <w:lang w:val="en-US"/>
              </w:rPr>
              <w:t xml:space="preserve"> add</w:t>
            </w:r>
            <w:r w:rsidR="00AA70D5">
              <w:rPr>
                <w:lang w:val="en-US"/>
              </w:rPr>
              <w:t>itional</w:t>
            </w:r>
            <w:r w:rsidR="007E214E">
              <w:rPr>
                <w:lang w:val="en-US"/>
              </w:rPr>
              <w:t xml:space="preserve"> administrative burden</w:t>
            </w:r>
            <w:r w:rsidR="00AA70D5">
              <w:rPr>
                <w:lang w:val="en-US"/>
              </w:rPr>
              <w:t>s</w:t>
            </w:r>
            <w:r w:rsidR="00D61C70">
              <w:rPr>
                <w:lang w:val="en-US"/>
              </w:rPr>
              <w:t xml:space="preserve"> </w:t>
            </w:r>
            <w:r w:rsidR="001F7B4F">
              <w:rPr>
                <w:lang w:val="en-US"/>
              </w:rPr>
              <w:t xml:space="preserve">or barriers </w:t>
            </w:r>
            <w:r w:rsidR="001F3E91">
              <w:rPr>
                <w:lang w:val="en-US"/>
              </w:rPr>
              <w:t xml:space="preserve">for </w:t>
            </w:r>
            <w:r w:rsidR="001F7B4F">
              <w:rPr>
                <w:lang w:val="en-US"/>
              </w:rPr>
              <w:t xml:space="preserve">teachers. </w:t>
            </w:r>
          </w:p>
        </w:tc>
      </w:tr>
      <w:tr w:rsidR="00A36596" w14:paraId="2A1576F2" w14:textId="77777777" w:rsidTr="00EE6066">
        <w:tc>
          <w:tcPr>
            <w:tcW w:w="2766" w:type="dxa"/>
            <w:vMerge w:val="restart"/>
            <w:shd w:val="clear" w:color="auto" w:fill="F3F3F3"/>
          </w:tcPr>
          <w:p w14:paraId="4B8E3B2B" w14:textId="77777777" w:rsidR="00A36596" w:rsidRDefault="00A36596" w:rsidP="00BB38A7">
            <w:pPr>
              <w:rPr>
                <w:b/>
                <w:bCs/>
                <w:lang w:val="en-US"/>
              </w:rPr>
            </w:pPr>
            <w:r w:rsidRPr="007B70F6">
              <w:rPr>
                <w:b/>
                <w:bCs/>
                <w:lang w:val="en-US"/>
              </w:rPr>
              <w:t xml:space="preserve">Housing </w:t>
            </w:r>
          </w:p>
          <w:p w14:paraId="2633816A" w14:textId="77777777" w:rsidR="00776CF3" w:rsidRDefault="00776CF3" w:rsidP="00BB38A7">
            <w:pPr>
              <w:rPr>
                <w:b/>
                <w:bCs/>
                <w:lang w:val="en-US"/>
              </w:rPr>
            </w:pPr>
          </w:p>
          <w:p w14:paraId="774164FB" w14:textId="77777777" w:rsidR="00776CF3" w:rsidRDefault="00776CF3" w:rsidP="00BB38A7">
            <w:pPr>
              <w:rPr>
                <w:i/>
                <w:iCs/>
                <w:lang w:val="en-US"/>
              </w:rPr>
            </w:pPr>
            <w:r w:rsidRPr="00776CF3">
              <w:rPr>
                <w:i/>
                <w:iCs/>
                <w:lang w:val="en-US"/>
              </w:rPr>
              <w:t xml:space="preserve">Funding to address the housing and homelessness crisis for people with disability including encouraging more </w:t>
            </w:r>
            <w:r w:rsidR="009E451B" w:rsidRPr="00776CF3">
              <w:rPr>
                <w:i/>
                <w:iCs/>
                <w:lang w:val="en-US"/>
              </w:rPr>
              <w:t>accessible</w:t>
            </w:r>
            <w:r w:rsidRPr="00776CF3">
              <w:rPr>
                <w:i/>
                <w:iCs/>
                <w:lang w:val="en-US"/>
              </w:rPr>
              <w:t xml:space="preserve"> and affordable built form through well maintained public, private and community dwellings </w:t>
            </w:r>
          </w:p>
          <w:p w14:paraId="039C6470" w14:textId="77777777" w:rsidR="002F4AE6" w:rsidRDefault="002F4AE6" w:rsidP="00BB38A7">
            <w:pPr>
              <w:rPr>
                <w:i/>
                <w:iCs/>
                <w:lang w:val="en-US"/>
              </w:rPr>
            </w:pPr>
          </w:p>
          <w:p w14:paraId="21C5DD94" w14:textId="77777777" w:rsidR="002F4AE6" w:rsidRDefault="002F4AE6" w:rsidP="002F4AE6">
            <w:pPr>
              <w:rPr>
                <w:i/>
                <w:iCs/>
                <w:lang w:val="en-US"/>
              </w:rPr>
            </w:pPr>
          </w:p>
          <w:p w14:paraId="3ED235C8" w14:textId="516F409D" w:rsidR="002F4AE6" w:rsidRPr="0002005E" w:rsidRDefault="002F4AE6" w:rsidP="002F4AE6">
            <w:pPr>
              <w:rPr>
                <w:sz w:val="20"/>
                <w:szCs w:val="20"/>
                <w:lang w:val="en-US"/>
              </w:rPr>
            </w:pPr>
            <w:r w:rsidRPr="0002005E">
              <w:rPr>
                <w:sz w:val="20"/>
                <w:szCs w:val="20"/>
                <w:lang w:val="en-US"/>
              </w:rPr>
              <w:t>Supports delivery of outcomes under Wellbeing Indicator</w:t>
            </w:r>
            <w:r w:rsidR="00943A31">
              <w:rPr>
                <w:sz w:val="20"/>
                <w:szCs w:val="20"/>
                <w:lang w:val="en-US"/>
              </w:rPr>
              <w:t xml:space="preserve"> </w:t>
            </w:r>
            <w:hyperlink r:id="rId43" w:history="1">
              <w:r w:rsidR="00943A31" w:rsidRPr="00447E0F">
                <w:rPr>
                  <w:rStyle w:val="Hyperlink"/>
                  <w:sz w:val="20"/>
                  <w:szCs w:val="20"/>
                  <w:lang w:val="en-US"/>
                </w:rPr>
                <w:t>Homelessness</w:t>
              </w:r>
            </w:hyperlink>
            <w:r w:rsidR="00943A31">
              <w:rPr>
                <w:sz w:val="20"/>
                <w:szCs w:val="20"/>
                <w:lang w:val="en-US"/>
              </w:rPr>
              <w:t xml:space="preserve">, </w:t>
            </w:r>
            <w:hyperlink r:id="rId44" w:history="1">
              <w:r w:rsidR="005911E7" w:rsidRPr="00447E0F">
                <w:rPr>
                  <w:rStyle w:val="Hyperlink"/>
                  <w:sz w:val="20"/>
                  <w:szCs w:val="20"/>
                  <w:lang w:val="en-US"/>
                </w:rPr>
                <w:t>Housing affordability and availability</w:t>
              </w:r>
            </w:hyperlink>
            <w:r w:rsidR="005911E7">
              <w:rPr>
                <w:sz w:val="20"/>
                <w:szCs w:val="20"/>
                <w:lang w:val="en-US"/>
              </w:rPr>
              <w:t xml:space="preserve">, </w:t>
            </w:r>
            <w:hyperlink r:id="rId45" w:history="1">
              <w:r w:rsidR="005911E7" w:rsidRPr="00447E0F">
                <w:rPr>
                  <w:rStyle w:val="Hyperlink"/>
                  <w:sz w:val="20"/>
                  <w:szCs w:val="20"/>
                  <w:lang w:val="en-US"/>
                </w:rPr>
                <w:t>Housing suitability</w:t>
              </w:r>
            </w:hyperlink>
            <w:r w:rsidR="005911E7">
              <w:rPr>
                <w:sz w:val="20"/>
                <w:szCs w:val="20"/>
                <w:lang w:val="en-US"/>
              </w:rPr>
              <w:t xml:space="preserve">, and </w:t>
            </w:r>
            <w:hyperlink r:id="rId46" w:history="1">
              <w:r w:rsidR="005911E7" w:rsidRPr="00A8543A">
                <w:rPr>
                  <w:rStyle w:val="Hyperlink"/>
                  <w:sz w:val="20"/>
                  <w:szCs w:val="20"/>
                  <w:lang w:val="en-US"/>
                </w:rPr>
                <w:t>Rental stress</w:t>
              </w:r>
            </w:hyperlink>
          </w:p>
          <w:p w14:paraId="21660A48" w14:textId="77777777" w:rsidR="002F4AE6" w:rsidRPr="0002005E" w:rsidRDefault="002F4AE6" w:rsidP="002F4AE6">
            <w:pPr>
              <w:rPr>
                <w:i/>
                <w:iCs/>
                <w:sz w:val="20"/>
                <w:szCs w:val="20"/>
                <w:lang w:val="en-US"/>
              </w:rPr>
            </w:pPr>
          </w:p>
          <w:p w14:paraId="2E8E2F6B" w14:textId="5BD9E707" w:rsidR="002F4AE6" w:rsidRPr="00776CF3" w:rsidRDefault="002F4AE6" w:rsidP="002F4AE6">
            <w:pPr>
              <w:rPr>
                <w:i/>
                <w:iCs/>
                <w:lang w:val="en-US"/>
              </w:rPr>
            </w:pPr>
            <w:r w:rsidRPr="0002005E">
              <w:rPr>
                <w:sz w:val="20"/>
                <w:szCs w:val="20"/>
                <w:lang w:val="en-US"/>
              </w:rPr>
              <w:lastRenderedPageBreak/>
              <w:t xml:space="preserve">Enables compliance with CRPD </w:t>
            </w:r>
            <w:hyperlink r:id="rId47" w:history="1">
              <w:r w:rsidR="00A107C5" w:rsidRPr="00C83BB8">
                <w:rPr>
                  <w:rStyle w:val="Hyperlink"/>
                  <w:sz w:val="20"/>
                  <w:szCs w:val="20"/>
                  <w:lang w:val="en-US"/>
                </w:rPr>
                <w:t>Article 19 – Living Independently and Being Included in the Community</w:t>
              </w:r>
            </w:hyperlink>
            <w:r w:rsidR="00A107C5">
              <w:rPr>
                <w:sz w:val="20"/>
                <w:szCs w:val="20"/>
                <w:lang w:val="en-US"/>
              </w:rPr>
              <w:t xml:space="preserve"> and </w:t>
            </w:r>
            <w:hyperlink r:id="rId48" w:history="1">
              <w:r w:rsidRPr="00F85388">
                <w:rPr>
                  <w:rStyle w:val="Hyperlink"/>
                  <w:sz w:val="20"/>
                  <w:szCs w:val="20"/>
                  <w:lang w:val="en-US"/>
                </w:rPr>
                <w:t xml:space="preserve">Article </w:t>
              </w:r>
              <w:r w:rsidR="004E3FAC" w:rsidRPr="00F85388">
                <w:rPr>
                  <w:rStyle w:val="Hyperlink"/>
                  <w:sz w:val="20"/>
                  <w:szCs w:val="20"/>
                  <w:lang w:val="en-US"/>
                </w:rPr>
                <w:t>28 – Adequate Standard of Living and Social Protection</w:t>
              </w:r>
            </w:hyperlink>
          </w:p>
        </w:tc>
        <w:tc>
          <w:tcPr>
            <w:tcW w:w="2785" w:type="dxa"/>
            <w:shd w:val="clear" w:color="auto" w:fill="F3F3F3"/>
          </w:tcPr>
          <w:p w14:paraId="2F738369" w14:textId="0018CB25" w:rsidR="00A36596" w:rsidRDefault="00A36596" w:rsidP="000F0F84">
            <w:pPr>
              <w:rPr>
                <w:lang w:val="en-US"/>
              </w:rPr>
            </w:pPr>
            <w:r>
              <w:rPr>
                <w:lang w:val="en-US"/>
              </w:rPr>
              <w:lastRenderedPageBreak/>
              <w:t xml:space="preserve">More public housing at the gold standard of accessibility </w:t>
            </w:r>
          </w:p>
          <w:p w14:paraId="1FBDE5FA" w14:textId="25BA7469" w:rsidR="00A36596" w:rsidRDefault="00A36596" w:rsidP="0094524D">
            <w:pPr>
              <w:rPr>
                <w:lang w:val="en-US"/>
              </w:rPr>
            </w:pPr>
          </w:p>
        </w:tc>
        <w:tc>
          <w:tcPr>
            <w:tcW w:w="4225" w:type="dxa"/>
            <w:shd w:val="clear" w:color="auto" w:fill="F3F3F3"/>
          </w:tcPr>
          <w:p w14:paraId="44DC59C3" w14:textId="45A68DD3" w:rsidR="00A36596" w:rsidRPr="006E6E9D" w:rsidRDefault="00A36596" w:rsidP="006E6E9D">
            <w:pPr>
              <w:rPr>
                <w:lang w:val="en-US"/>
              </w:rPr>
            </w:pPr>
            <w:r>
              <w:rPr>
                <w:lang w:val="en-US"/>
              </w:rPr>
              <w:t>I</w:t>
            </w:r>
            <w:r w:rsidRPr="006E6E9D">
              <w:rPr>
                <w:lang w:val="en-US"/>
              </w:rPr>
              <w:t xml:space="preserve">ncrease availability of public housing, improve maintenance and enable </w:t>
            </w:r>
          </w:p>
          <w:p w14:paraId="532C73F2" w14:textId="7488F832" w:rsidR="00A36596" w:rsidRDefault="00A36596" w:rsidP="006E6E9D">
            <w:pPr>
              <w:rPr>
                <w:lang w:val="en-US"/>
              </w:rPr>
            </w:pPr>
            <w:r w:rsidRPr="006E6E9D">
              <w:rPr>
                <w:lang w:val="en-US"/>
              </w:rPr>
              <w:t>better provision of disability modifications</w:t>
            </w:r>
            <w:r>
              <w:rPr>
                <w:lang w:val="en-US"/>
              </w:rPr>
              <w:t xml:space="preserve"> to meet demand</w:t>
            </w:r>
          </w:p>
        </w:tc>
        <w:tc>
          <w:tcPr>
            <w:tcW w:w="4111" w:type="dxa"/>
            <w:shd w:val="clear" w:color="auto" w:fill="F3F3F3"/>
          </w:tcPr>
          <w:p w14:paraId="6B68F9BB" w14:textId="7094F83E" w:rsidR="00A36596" w:rsidRDefault="007663C3" w:rsidP="00BB38A7">
            <w:pPr>
              <w:rPr>
                <w:lang w:val="en-US"/>
              </w:rPr>
            </w:pPr>
            <w:r>
              <w:rPr>
                <w:lang w:val="en-US"/>
              </w:rPr>
              <w:t xml:space="preserve">The </w:t>
            </w:r>
            <w:hyperlink r:id="rId49" w:history="1">
              <w:r w:rsidRPr="001A681A">
                <w:rPr>
                  <w:rStyle w:val="Hyperlink"/>
                  <w:lang w:val="en-US"/>
                </w:rPr>
                <w:t>Report on Government Services</w:t>
              </w:r>
            </w:hyperlink>
            <w:r>
              <w:rPr>
                <w:lang w:val="en-US"/>
              </w:rPr>
              <w:t xml:space="preserve"> (202</w:t>
            </w:r>
            <w:r w:rsidR="00674A42">
              <w:rPr>
                <w:lang w:val="en-US"/>
              </w:rPr>
              <w:t>3</w:t>
            </w:r>
            <w:r>
              <w:rPr>
                <w:lang w:val="en-US"/>
              </w:rPr>
              <w:t xml:space="preserve">) indicates a decline </w:t>
            </w:r>
            <w:r w:rsidR="00874CB2">
              <w:rPr>
                <w:lang w:val="en-US"/>
              </w:rPr>
              <w:t>in the number of social housing dwellings</w:t>
            </w:r>
            <w:r w:rsidR="00FB2A04">
              <w:rPr>
                <w:lang w:val="en-US"/>
              </w:rPr>
              <w:t>: the lowe</w:t>
            </w:r>
            <w:r w:rsidR="006C3A86">
              <w:rPr>
                <w:lang w:val="en-US"/>
              </w:rPr>
              <w:t xml:space="preserve">st number in the ACT in 10 years after a peak in 2018. </w:t>
            </w:r>
            <w:r w:rsidR="00B251D2">
              <w:rPr>
                <w:lang w:val="en-US"/>
              </w:rPr>
              <w:t xml:space="preserve">In comparison to the rest of Australia, the ACT has the lowest rate of public housing dwellings that are weather appropriate and meet energy efficiency expectations. </w:t>
            </w:r>
            <w:r w:rsidR="00D0374A">
              <w:rPr>
                <w:lang w:val="en-US"/>
              </w:rPr>
              <w:t xml:space="preserve">The average turnaround </w:t>
            </w:r>
            <w:r w:rsidR="001E0883">
              <w:rPr>
                <w:lang w:val="en-US"/>
              </w:rPr>
              <w:t xml:space="preserve">time for vacant stock in public housing has nearly doubled </w:t>
            </w:r>
            <w:r w:rsidR="009D208D">
              <w:rPr>
                <w:lang w:val="en-US"/>
              </w:rPr>
              <w:t xml:space="preserve">since 2021 from 50 to 90 days. </w:t>
            </w:r>
            <w:r w:rsidR="003C51F6">
              <w:rPr>
                <w:lang w:val="en-US"/>
              </w:rPr>
              <w:t xml:space="preserve">  </w:t>
            </w:r>
            <w:r w:rsidR="003C51F6">
              <w:rPr>
                <w:lang w:val="en-US"/>
              </w:rPr>
              <w:br/>
            </w:r>
            <w:r w:rsidR="003C51F6">
              <w:rPr>
                <w:lang w:val="en-US"/>
              </w:rPr>
              <w:br/>
              <w:t xml:space="preserve">Problems with public housing applications, transfers and maintenance are </w:t>
            </w:r>
            <w:r w:rsidR="00BF12FC">
              <w:rPr>
                <w:lang w:val="en-US"/>
              </w:rPr>
              <w:t>one of the</w:t>
            </w:r>
            <w:r w:rsidR="003C51F6">
              <w:rPr>
                <w:lang w:val="en-US"/>
              </w:rPr>
              <w:t xml:space="preserve"> largest ongoing component</w:t>
            </w:r>
            <w:r w:rsidR="00BF12FC">
              <w:rPr>
                <w:lang w:val="en-US"/>
              </w:rPr>
              <w:t>s</w:t>
            </w:r>
            <w:r w:rsidR="003C51F6">
              <w:rPr>
                <w:lang w:val="en-US"/>
              </w:rPr>
              <w:t xml:space="preserve"> of AFI’s individual advocacy alongside NDIS issues.  </w:t>
            </w:r>
          </w:p>
        </w:tc>
      </w:tr>
      <w:tr w:rsidR="00A36596" w14:paraId="3F56B3F1" w14:textId="77777777" w:rsidTr="00EE6066">
        <w:tc>
          <w:tcPr>
            <w:tcW w:w="2766" w:type="dxa"/>
            <w:vMerge/>
            <w:shd w:val="clear" w:color="auto" w:fill="F3F3F3"/>
          </w:tcPr>
          <w:p w14:paraId="357E8A7A" w14:textId="77777777" w:rsidR="00A36596" w:rsidRDefault="00A36596" w:rsidP="00BB38A7">
            <w:pPr>
              <w:rPr>
                <w:lang w:val="en-US"/>
              </w:rPr>
            </w:pPr>
          </w:p>
        </w:tc>
        <w:tc>
          <w:tcPr>
            <w:tcW w:w="2785" w:type="dxa"/>
            <w:shd w:val="clear" w:color="auto" w:fill="F3F3F3"/>
          </w:tcPr>
          <w:p w14:paraId="52932AD5" w14:textId="12958124" w:rsidR="00A36596" w:rsidRDefault="00A36596" w:rsidP="000F0F84">
            <w:pPr>
              <w:rPr>
                <w:lang w:val="en-US"/>
              </w:rPr>
            </w:pPr>
            <w:r>
              <w:rPr>
                <w:lang w:val="en-US"/>
              </w:rPr>
              <w:t xml:space="preserve">Grow accessible non group community housing </w:t>
            </w:r>
          </w:p>
        </w:tc>
        <w:tc>
          <w:tcPr>
            <w:tcW w:w="4225" w:type="dxa"/>
            <w:shd w:val="clear" w:color="auto" w:fill="F3F3F3"/>
          </w:tcPr>
          <w:p w14:paraId="72DF1647" w14:textId="68765BED" w:rsidR="00A36596" w:rsidRDefault="00A36596" w:rsidP="00BB38A7">
            <w:pPr>
              <w:rPr>
                <w:lang w:val="en-US"/>
              </w:rPr>
            </w:pPr>
            <w:r>
              <w:rPr>
                <w:lang w:val="en-US"/>
              </w:rPr>
              <w:t xml:space="preserve">Funding and planning reforms to grow the number of community managed housing dwellings for people with disability that comply with </w:t>
            </w:r>
            <w:hyperlink r:id="rId50" w:history="1">
              <w:r w:rsidR="00E45673" w:rsidRPr="00B25C2A">
                <w:rPr>
                  <w:rStyle w:val="Hyperlink"/>
                  <w:lang w:val="en-US"/>
                </w:rPr>
                <w:t>A</w:t>
              </w:r>
              <w:r w:rsidRPr="00B25C2A">
                <w:rPr>
                  <w:rStyle w:val="Hyperlink"/>
                  <w:lang w:val="en-US"/>
                </w:rPr>
                <w:t>rticle 19</w:t>
              </w:r>
            </w:hyperlink>
            <w:r>
              <w:rPr>
                <w:lang w:val="en-US"/>
              </w:rPr>
              <w:t xml:space="preserve"> of CRPD</w:t>
            </w:r>
          </w:p>
        </w:tc>
        <w:tc>
          <w:tcPr>
            <w:tcW w:w="4111" w:type="dxa"/>
            <w:shd w:val="clear" w:color="auto" w:fill="F3F3F3"/>
          </w:tcPr>
          <w:p w14:paraId="73668705" w14:textId="4C4C95D0" w:rsidR="00A36596" w:rsidRDefault="00F71EB4" w:rsidP="00BB38A7">
            <w:pPr>
              <w:rPr>
                <w:lang w:val="en-US"/>
              </w:rPr>
            </w:pPr>
            <w:r>
              <w:rPr>
                <w:lang w:val="en-US"/>
              </w:rPr>
              <w:t xml:space="preserve">The </w:t>
            </w:r>
            <w:r w:rsidR="00063AF2">
              <w:rPr>
                <w:lang w:val="en-US"/>
              </w:rPr>
              <w:t xml:space="preserve">lack of accessible and affordable housing as well as </w:t>
            </w:r>
            <w:r w:rsidR="006B6A5C">
              <w:rPr>
                <w:lang w:val="en-US"/>
              </w:rPr>
              <w:t xml:space="preserve">support gaps mean that too many people are still required to live together to receive disability supports.  </w:t>
            </w:r>
            <w:r w:rsidR="00173F24">
              <w:rPr>
                <w:lang w:val="en-US"/>
              </w:rPr>
              <w:t xml:space="preserve">While the ACT has no large institutions it </w:t>
            </w:r>
            <w:r w:rsidR="00173F24">
              <w:rPr>
                <w:lang w:val="en-US"/>
              </w:rPr>
              <w:lastRenderedPageBreak/>
              <w:t>does still have a large number of group settings</w:t>
            </w:r>
            <w:r w:rsidR="002A1951">
              <w:rPr>
                <w:lang w:val="en-US"/>
              </w:rPr>
              <w:t xml:space="preserve">.  Group settings do not meet </w:t>
            </w:r>
            <w:r w:rsidR="00EB084A">
              <w:rPr>
                <w:lang w:val="en-US"/>
              </w:rPr>
              <w:t>A</w:t>
            </w:r>
            <w:r w:rsidR="002A1951">
              <w:rPr>
                <w:lang w:val="en-US"/>
              </w:rPr>
              <w:t xml:space="preserve">rticle 19 of CRPD and also are environments where people with disability experience a lack of choice, autonomy and are at risk of violence, abuse and neglect.  </w:t>
            </w:r>
            <w:r w:rsidR="00FD5BB7">
              <w:rPr>
                <w:lang w:val="en-US"/>
              </w:rPr>
              <w:t>Negative e</w:t>
            </w:r>
            <w:r w:rsidR="00DE0A4C">
              <w:rPr>
                <w:lang w:val="en-US"/>
              </w:rPr>
              <w:t xml:space="preserve">xperiences in group homes </w:t>
            </w:r>
            <w:r w:rsidR="00E517F9">
              <w:rPr>
                <w:lang w:val="en-US"/>
              </w:rPr>
              <w:t xml:space="preserve">have been exposed at length in evidence to </w:t>
            </w:r>
            <w:r w:rsidR="00DE0A4C">
              <w:rPr>
                <w:lang w:val="en-US"/>
              </w:rPr>
              <w:t xml:space="preserve">the </w:t>
            </w:r>
            <w:r w:rsidR="00E517F9">
              <w:rPr>
                <w:lang w:val="en-US"/>
              </w:rPr>
              <w:t xml:space="preserve">Disability </w:t>
            </w:r>
            <w:r w:rsidR="00DE0A4C">
              <w:rPr>
                <w:lang w:val="en-US"/>
              </w:rPr>
              <w:t>Royal Commission.</w:t>
            </w:r>
          </w:p>
        </w:tc>
      </w:tr>
      <w:tr w:rsidR="00A36596" w14:paraId="3F7B7A45" w14:textId="77777777" w:rsidTr="00EE6066">
        <w:tc>
          <w:tcPr>
            <w:tcW w:w="2766" w:type="dxa"/>
            <w:vMerge/>
            <w:shd w:val="clear" w:color="auto" w:fill="F3F3F3"/>
          </w:tcPr>
          <w:p w14:paraId="57E5DCBD" w14:textId="77777777" w:rsidR="00A36596" w:rsidRDefault="00A36596" w:rsidP="00BB38A7">
            <w:pPr>
              <w:rPr>
                <w:lang w:val="en-US"/>
              </w:rPr>
            </w:pPr>
          </w:p>
        </w:tc>
        <w:tc>
          <w:tcPr>
            <w:tcW w:w="2785" w:type="dxa"/>
            <w:shd w:val="clear" w:color="auto" w:fill="F3F3F3"/>
          </w:tcPr>
          <w:p w14:paraId="285225D7" w14:textId="77FA2EA9" w:rsidR="00A36596" w:rsidRDefault="00A36596" w:rsidP="000F0F84">
            <w:pPr>
              <w:rPr>
                <w:lang w:val="en-US"/>
              </w:rPr>
            </w:pPr>
            <w:r>
              <w:rPr>
                <w:lang w:val="en-US"/>
              </w:rPr>
              <w:t xml:space="preserve">Tax breaks for accessible housing </w:t>
            </w:r>
          </w:p>
        </w:tc>
        <w:tc>
          <w:tcPr>
            <w:tcW w:w="4225" w:type="dxa"/>
            <w:shd w:val="clear" w:color="auto" w:fill="F3F3F3"/>
          </w:tcPr>
          <w:p w14:paraId="72826126" w14:textId="63724BEE" w:rsidR="00A36596" w:rsidRDefault="00A36596" w:rsidP="00C93047">
            <w:pPr>
              <w:rPr>
                <w:lang w:val="en-US"/>
              </w:rPr>
            </w:pPr>
            <w:r>
              <w:rPr>
                <w:lang w:val="en-US"/>
              </w:rPr>
              <w:t>Use</w:t>
            </w:r>
            <w:r w:rsidRPr="00C93047">
              <w:rPr>
                <w:lang w:val="en-US"/>
              </w:rPr>
              <w:t xml:space="preserve"> levers through the tax and transfer systems to incentivise property owners to offer and maintain accessible rental housing</w:t>
            </w:r>
          </w:p>
        </w:tc>
        <w:tc>
          <w:tcPr>
            <w:tcW w:w="4111" w:type="dxa"/>
            <w:shd w:val="clear" w:color="auto" w:fill="F3F3F3"/>
          </w:tcPr>
          <w:p w14:paraId="0ED5E9EA" w14:textId="2D8C06B8" w:rsidR="00A36596" w:rsidRDefault="00A40457" w:rsidP="00BB38A7">
            <w:pPr>
              <w:rPr>
                <w:lang w:val="en-US"/>
              </w:rPr>
            </w:pPr>
            <w:r w:rsidRPr="5DFCCB07">
              <w:rPr>
                <w:lang w:val="en-US"/>
              </w:rPr>
              <w:t xml:space="preserve">Most of Australia’s dwellings – old and new – are not designed to meet the needs of </w:t>
            </w:r>
            <w:r w:rsidR="00E02732" w:rsidRPr="5DFCCB07">
              <w:rPr>
                <w:lang w:val="en-US"/>
              </w:rPr>
              <w:t>people with disability. Problems include poor access</w:t>
            </w:r>
            <w:r w:rsidR="00F03891" w:rsidRPr="5DFCCB07">
              <w:rPr>
                <w:lang w:val="en-US"/>
              </w:rPr>
              <w:t xml:space="preserve"> and unsuitable internal layouts, inadequately designed bathrooms and kitchens. In privately owned and rented dwellings, it is left up to individual households to decide whether to make changes to their dwellings and </w:t>
            </w:r>
            <w:r w:rsidR="137BEE09" w:rsidRPr="5DFCCB07">
              <w:rPr>
                <w:lang w:val="en-US"/>
              </w:rPr>
              <w:t>to determine</w:t>
            </w:r>
            <w:r w:rsidR="00F03891" w:rsidRPr="5DFCCB07">
              <w:rPr>
                <w:lang w:val="en-US"/>
              </w:rPr>
              <w:t xml:space="preserve"> how the costs will be covered</w:t>
            </w:r>
            <w:r w:rsidR="008D0361" w:rsidRPr="5DFCCB07">
              <w:rPr>
                <w:lang w:val="en-US"/>
              </w:rPr>
              <w:t xml:space="preserve"> (see e.g., </w:t>
            </w:r>
            <w:hyperlink r:id="rId51">
              <w:r w:rsidR="008D0361" w:rsidRPr="5DFCCB07">
                <w:rPr>
                  <w:rStyle w:val="Hyperlink"/>
                  <w:lang w:val="en-US"/>
                </w:rPr>
                <w:t>Wiesel, 2020</w:t>
              </w:r>
            </w:hyperlink>
            <w:r w:rsidR="008D0361" w:rsidRPr="5DFCCB07">
              <w:rPr>
                <w:lang w:val="en-US"/>
              </w:rPr>
              <w:t xml:space="preserve">). </w:t>
            </w:r>
            <w:r w:rsidR="00F03891" w:rsidRPr="5DFCCB07">
              <w:rPr>
                <w:lang w:val="en-US"/>
              </w:rPr>
              <w:t xml:space="preserve"> </w:t>
            </w:r>
            <w:r w:rsidR="00BC2C63" w:rsidRPr="5DFCCB07">
              <w:rPr>
                <w:lang w:val="en-US"/>
              </w:rPr>
              <w:t xml:space="preserve">A lack </w:t>
            </w:r>
            <w:r w:rsidR="00D46456" w:rsidRPr="5DFCCB07">
              <w:rPr>
                <w:lang w:val="en-US"/>
              </w:rPr>
              <w:t xml:space="preserve">of accessible and visitable housing is an underpinning driver of poverty, social exclusion and also other adverse outcomes like falls due to people staying in housing that has not adapted to access needs.  </w:t>
            </w:r>
          </w:p>
        </w:tc>
      </w:tr>
      <w:tr w:rsidR="00A36596" w14:paraId="1BF86600" w14:textId="77777777" w:rsidTr="00EE6066">
        <w:tc>
          <w:tcPr>
            <w:tcW w:w="2766" w:type="dxa"/>
            <w:vMerge/>
            <w:shd w:val="clear" w:color="auto" w:fill="F3F3F3"/>
          </w:tcPr>
          <w:p w14:paraId="7DE35180" w14:textId="77777777" w:rsidR="00A36596" w:rsidRDefault="00A36596" w:rsidP="00BB38A7">
            <w:pPr>
              <w:rPr>
                <w:lang w:val="en-US"/>
              </w:rPr>
            </w:pPr>
          </w:p>
        </w:tc>
        <w:tc>
          <w:tcPr>
            <w:tcW w:w="2785" w:type="dxa"/>
            <w:shd w:val="clear" w:color="auto" w:fill="F3F3F3"/>
          </w:tcPr>
          <w:p w14:paraId="14BA9DF4" w14:textId="63BC0647" w:rsidR="00A36596" w:rsidRDefault="00A36596" w:rsidP="00BB38A7">
            <w:pPr>
              <w:rPr>
                <w:lang w:val="en-US"/>
              </w:rPr>
            </w:pPr>
            <w:r>
              <w:rPr>
                <w:lang w:val="en-US"/>
              </w:rPr>
              <w:t xml:space="preserve">Grow accessible private rental </w:t>
            </w:r>
          </w:p>
        </w:tc>
        <w:tc>
          <w:tcPr>
            <w:tcW w:w="4225" w:type="dxa"/>
            <w:shd w:val="clear" w:color="auto" w:fill="F3F3F3"/>
          </w:tcPr>
          <w:p w14:paraId="0712F7EA" w14:textId="5FB71330" w:rsidR="00A36596" w:rsidRPr="00787C31" w:rsidRDefault="00A36596" w:rsidP="00787C31">
            <w:pPr>
              <w:rPr>
                <w:lang w:val="en-US"/>
              </w:rPr>
            </w:pPr>
            <w:r>
              <w:rPr>
                <w:lang w:val="en-US"/>
              </w:rPr>
              <w:t>A</w:t>
            </w:r>
            <w:r w:rsidRPr="00787C31">
              <w:rPr>
                <w:lang w:val="en-US"/>
              </w:rPr>
              <w:t xml:space="preserve"> package of work to encourage accessible private rental </w:t>
            </w:r>
            <w:r w:rsidR="000538FC" w:rsidRPr="00787C31">
              <w:rPr>
                <w:lang w:val="en-US"/>
              </w:rPr>
              <w:t>focusing</w:t>
            </w:r>
            <w:r w:rsidRPr="00787C31">
              <w:rPr>
                <w:lang w:val="en-US"/>
              </w:rPr>
              <w:t xml:space="preserve"> on championing the need for the real estate sector (including ‘mum and dad’ landlords) to play a more socially responsive role in addressing the </w:t>
            </w:r>
          </w:p>
          <w:p w14:paraId="7DBD85A0" w14:textId="77777777" w:rsidR="00A36596" w:rsidRPr="00787C31" w:rsidRDefault="00A36596" w:rsidP="00787C31">
            <w:pPr>
              <w:rPr>
                <w:lang w:val="en-US"/>
              </w:rPr>
            </w:pPr>
            <w:r w:rsidRPr="00787C31">
              <w:rPr>
                <w:lang w:val="en-US"/>
              </w:rPr>
              <w:t xml:space="preserve">increased barriers faced by people with disability to access appropriate, </w:t>
            </w:r>
          </w:p>
          <w:p w14:paraId="564A5642" w14:textId="6ABC3F1D" w:rsidR="00A36596" w:rsidRDefault="00A36596" w:rsidP="00787C31">
            <w:pPr>
              <w:rPr>
                <w:lang w:val="en-US"/>
              </w:rPr>
            </w:pPr>
            <w:r w:rsidRPr="00787C31">
              <w:rPr>
                <w:lang w:val="en-US"/>
              </w:rPr>
              <w:lastRenderedPageBreak/>
              <w:t>affordable rental housing.</w:t>
            </w:r>
          </w:p>
        </w:tc>
        <w:tc>
          <w:tcPr>
            <w:tcW w:w="4111" w:type="dxa"/>
            <w:shd w:val="clear" w:color="auto" w:fill="F3F3F3"/>
          </w:tcPr>
          <w:p w14:paraId="7CDBF9CA" w14:textId="311C274D" w:rsidR="00A36596" w:rsidRDefault="00B463F4" w:rsidP="00BB38A7">
            <w:pPr>
              <w:rPr>
                <w:lang w:val="en-US"/>
              </w:rPr>
            </w:pPr>
            <w:r>
              <w:rPr>
                <w:lang w:val="en-US"/>
              </w:rPr>
              <w:lastRenderedPageBreak/>
              <w:t xml:space="preserve">Private renters with disability make up 55.6% of all renters with disability in the ACT. These renters are stressed: the ACT continues to have the highest rate of rental stress for low-income private renters of any Australian jurisdiction (73% compared to 50% nationally). </w:t>
            </w:r>
            <w:r w:rsidR="007D5B22">
              <w:rPr>
                <w:lang w:val="en-US"/>
              </w:rPr>
              <w:t xml:space="preserve">A Disability </w:t>
            </w:r>
            <w:r w:rsidR="005B43D8">
              <w:rPr>
                <w:lang w:val="en-US"/>
              </w:rPr>
              <w:t xml:space="preserve">Support </w:t>
            </w:r>
            <w:r w:rsidR="005B43D8">
              <w:rPr>
                <w:lang w:val="en-US"/>
              </w:rPr>
              <w:lastRenderedPageBreak/>
              <w:t xml:space="preserve">Pension </w:t>
            </w:r>
            <w:r w:rsidR="009927F5">
              <w:rPr>
                <w:lang w:val="en-US"/>
              </w:rPr>
              <w:t xml:space="preserve">recipient could </w:t>
            </w:r>
            <w:hyperlink r:id="rId52" w:history="1">
              <w:r w:rsidR="009927F5" w:rsidRPr="00414B0B">
                <w:rPr>
                  <w:rStyle w:val="Hyperlink"/>
                  <w:lang w:val="en-US"/>
                </w:rPr>
                <w:t>not afford any</w:t>
              </w:r>
            </w:hyperlink>
            <w:r w:rsidR="009927F5">
              <w:rPr>
                <w:lang w:val="en-US"/>
              </w:rPr>
              <w:t xml:space="preserve"> of the 1,354 private rentals advertised in the ACT and Queanbeyan in March 2022. </w:t>
            </w:r>
          </w:p>
        </w:tc>
      </w:tr>
      <w:tr w:rsidR="0060710E" w14:paraId="6A6D78C2" w14:textId="77777777" w:rsidTr="00EE6066">
        <w:tc>
          <w:tcPr>
            <w:tcW w:w="2766" w:type="dxa"/>
            <w:vMerge w:val="restart"/>
            <w:shd w:val="clear" w:color="auto" w:fill="F3F3F3"/>
          </w:tcPr>
          <w:p w14:paraId="53D79252" w14:textId="77777777" w:rsidR="0060710E" w:rsidRDefault="0060710E" w:rsidP="00BB38A7">
            <w:pPr>
              <w:rPr>
                <w:lang w:val="en-US"/>
              </w:rPr>
            </w:pPr>
          </w:p>
        </w:tc>
        <w:tc>
          <w:tcPr>
            <w:tcW w:w="2785" w:type="dxa"/>
            <w:shd w:val="clear" w:color="auto" w:fill="F3F3F3"/>
          </w:tcPr>
          <w:p w14:paraId="50DAC5D6" w14:textId="01A87139" w:rsidR="0060710E" w:rsidRPr="00BE0E08" w:rsidRDefault="0060710E" w:rsidP="00BE0E08">
            <w:pPr>
              <w:rPr>
                <w:lang w:val="en-US"/>
              </w:rPr>
            </w:pPr>
            <w:r>
              <w:rPr>
                <w:lang w:val="en-US"/>
              </w:rPr>
              <w:t>Package to encourage s</w:t>
            </w:r>
            <w:r w:rsidRPr="00BE0E08">
              <w:rPr>
                <w:lang w:val="en-US"/>
              </w:rPr>
              <w:t xml:space="preserve">ocially responsible, </w:t>
            </w:r>
          </w:p>
          <w:p w14:paraId="10152E02" w14:textId="73E48F63" w:rsidR="0060710E" w:rsidRDefault="0060710E" w:rsidP="00BE0E08">
            <w:pPr>
              <w:rPr>
                <w:lang w:val="en-US"/>
              </w:rPr>
            </w:pPr>
            <w:r w:rsidRPr="00BE0E08">
              <w:rPr>
                <w:lang w:val="en-US"/>
              </w:rPr>
              <w:t>sector-wide leasehold application processes</w:t>
            </w:r>
          </w:p>
        </w:tc>
        <w:tc>
          <w:tcPr>
            <w:tcW w:w="4225" w:type="dxa"/>
            <w:shd w:val="clear" w:color="auto" w:fill="F3F3F3"/>
          </w:tcPr>
          <w:p w14:paraId="2D913BAA" w14:textId="3B958458" w:rsidR="0060710E" w:rsidRPr="002A497F" w:rsidRDefault="0060710E" w:rsidP="002A497F">
            <w:pPr>
              <w:rPr>
                <w:lang w:val="en-US"/>
              </w:rPr>
            </w:pPr>
            <w:r w:rsidRPr="002A497F">
              <w:rPr>
                <w:lang w:val="en-US"/>
              </w:rPr>
              <w:t xml:space="preserve">Better identification of rental housing that is suitable for people with disability. This would include but extend beyond the legislated requirement to advertise adaptable housing dwellings in accordance </w:t>
            </w:r>
          </w:p>
          <w:p w14:paraId="2D54351E" w14:textId="4E9A94ED" w:rsidR="0060710E" w:rsidRPr="002A497F" w:rsidRDefault="0060710E" w:rsidP="002A497F">
            <w:pPr>
              <w:rPr>
                <w:lang w:val="en-US"/>
              </w:rPr>
            </w:pPr>
            <w:r w:rsidRPr="002A497F">
              <w:rPr>
                <w:lang w:val="en-US"/>
              </w:rPr>
              <w:t xml:space="preserve">with Residential Tenancies Act 1997 Section 11AAA Adaptable housing – advertising. </w:t>
            </w:r>
          </w:p>
          <w:p w14:paraId="12868882" w14:textId="77777777" w:rsidR="0060710E" w:rsidRPr="002A497F" w:rsidRDefault="0060710E" w:rsidP="002A497F">
            <w:pPr>
              <w:rPr>
                <w:lang w:val="en-US"/>
              </w:rPr>
            </w:pPr>
            <w:r w:rsidRPr="002A497F">
              <w:rPr>
                <w:lang w:val="en-US"/>
              </w:rPr>
              <w:t xml:space="preserve">o Better housing rental application processes that support applicants with </w:t>
            </w:r>
          </w:p>
          <w:p w14:paraId="4E2F9714" w14:textId="77777777" w:rsidR="0060710E" w:rsidRPr="002A497F" w:rsidRDefault="0060710E" w:rsidP="002A497F">
            <w:pPr>
              <w:rPr>
                <w:lang w:val="en-US"/>
              </w:rPr>
            </w:pPr>
            <w:r w:rsidRPr="002A497F">
              <w:rPr>
                <w:lang w:val="en-US"/>
              </w:rPr>
              <w:t>disability; and</w:t>
            </w:r>
          </w:p>
          <w:p w14:paraId="12C3A86B" w14:textId="77777777" w:rsidR="0060710E" w:rsidRPr="002A497F" w:rsidRDefault="0060710E" w:rsidP="002A497F">
            <w:pPr>
              <w:rPr>
                <w:lang w:val="en-US"/>
              </w:rPr>
            </w:pPr>
            <w:r w:rsidRPr="002A497F">
              <w:rPr>
                <w:lang w:val="en-US"/>
              </w:rPr>
              <w:t>o Provision of longer-term housing leaseholds, suitable for NDIS-funded</w:t>
            </w:r>
          </w:p>
          <w:p w14:paraId="1792AA84" w14:textId="7720D5A7" w:rsidR="0060710E" w:rsidRDefault="0060710E" w:rsidP="002A497F">
            <w:pPr>
              <w:rPr>
                <w:lang w:val="en-US"/>
              </w:rPr>
            </w:pPr>
            <w:r w:rsidRPr="002A497F">
              <w:rPr>
                <w:lang w:val="en-US"/>
              </w:rPr>
              <w:t>home modifications where appropriate</w:t>
            </w:r>
          </w:p>
        </w:tc>
        <w:tc>
          <w:tcPr>
            <w:tcW w:w="4111" w:type="dxa"/>
            <w:shd w:val="clear" w:color="auto" w:fill="F3F3F3"/>
          </w:tcPr>
          <w:p w14:paraId="0E528E43" w14:textId="0093CEE6" w:rsidR="0060710E" w:rsidRDefault="00772BB1" w:rsidP="00BB38A7">
            <w:pPr>
              <w:rPr>
                <w:lang w:val="en-US"/>
              </w:rPr>
            </w:pPr>
            <w:r>
              <w:rPr>
                <w:lang w:val="en-US"/>
              </w:rPr>
              <w:t xml:space="preserve">There is no way of easily identifying </w:t>
            </w:r>
            <w:r w:rsidR="004563E7">
              <w:rPr>
                <w:lang w:val="en-US"/>
              </w:rPr>
              <w:t xml:space="preserve">suitable accessible housing nor of understanding supply issues. </w:t>
            </w:r>
            <w:r w:rsidR="00753802">
              <w:rPr>
                <w:lang w:val="en-US"/>
              </w:rPr>
              <w:t xml:space="preserve">We can’t fix what we can’t measure.  </w:t>
            </w:r>
          </w:p>
          <w:p w14:paraId="75D6AE16" w14:textId="77777777" w:rsidR="0096608E" w:rsidRDefault="0096608E" w:rsidP="00BB38A7">
            <w:pPr>
              <w:rPr>
                <w:lang w:val="en-US"/>
              </w:rPr>
            </w:pPr>
          </w:p>
          <w:p w14:paraId="70A44EBC" w14:textId="1C9E50F0" w:rsidR="0096608E" w:rsidRDefault="0096608E" w:rsidP="00BB38A7">
            <w:pPr>
              <w:rPr>
                <w:lang w:val="en-US"/>
              </w:rPr>
            </w:pPr>
            <w:r>
              <w:rPr>
                <w:lang w:val="en-US"/>
              </w:rPr>
              <w:t xml:space="preserve">Secondly people with disability trying to locate accessible private rental have no ready means of finding it. This is an area of proven market failure in the real estate industry and is also a gap in information provision by Governments. </w:t>
            </w:r>
            <w:r w:rsidR="00AE4D5A">
              <w:rPr>
                <w:lang w:val="en-US"/>
              </w:rPr>
              <w:t>The Disability Gateway for Instance contains no information on private rental housing or on Real Estate Agents with expertise.  Requiring advertising would</w:t>
            </w:r>
            <w:r w:rsidR="005802B2">
              <w:rPr>
                <w:lang w:val="en-US"/>
              </w:rPr>
              <w:t xml:space="preserve"> require real estate agents to acquire information and expertise.    </w:t>
            </w:r>
          </w:p>
        </w:tc>
      </w:tr>
      <w:tr w:rsidR="00CA2055" w14:paraId="4FA5CECD" w14:textId="77777777" w:rsidTr="00EE6066">
        <w:tc>
          <w:tcPr>
            <w:tcW w:w="2766" w:type="dxa"/>
            <w:vMerge/>
            <w:shd w:val="clear" w:color="auto" w:fill="F3F3F3"/>
          </w:tcPr>
          <w:p w14:paraId="53117520" w14:textId="77777777" w:rsidR="00CA2055" w:rsidRDefault="00CA2055" w:rsidP="00BB38A7">
            <w:pPr>
              <w:rPr>
                <w:lang w:val="en-US"/>
              </w:rPr>
            </w:pPr>
          </w:p>
        </w:tc>
        <w:tc>
          <w:tcPr>
            <w:tcW w:w="2785" w:type="dxa"/>
            <w:shd w:val="clear" w:color="auto" w:fill="F3F3F3"/>
          </w:tcPr>
          <w:p w14:paraId="5FC73C31" w14:textId="4EB2DF82" w:rsidR="00CA2055" w:rsidRDefault="00625C44" w:rsidP="00BE0E08">
            <w:pPr>
              <w:rPr>
                <w:lang w:val="en-US"/>
              </w:rPr>
            </w:pPr>
            <w:r>
              <w:rPr>
                <w:lang w:val="en-US"/>
              </w:rPr>
              <w:t>Package to incentivi</w:t>
            </w:r>
            <w:r w:rsidR="004802DA">
              <w:rPr>
                <w:lang w:val="en-US"/>
              </w:rPr>
              <w:t>s</w:t>
            </w:r>
            <w:r>
              <w:rPr>
                <w:lang w:val="en-US"/>
              </w:rPr>
              <w:t xml:space="preserve">e accessibility in medium density housing </w:t>
            </w:r>
          </w:p>
        </w:tc>
        <w:tc>
          <w:tcPr>
            <w:tcW w:w="4225" w:type="dxa"/>
            <w:shd w:val="clear" w:color="auto" w:fill="F3F3F3"/>
          </w:tcPr>
          <w:p w14:paraId="795D0F65" w14:textId="7D12EF40" w:rsidR="00CA2055" w:rsidRPr="002A497F" w:rsidRDefault="00542313" w:rsidP="002A497F">
            <w:pPr>
              <w:rPr>
                <w:lang w:val="en-US"/>
              </w:rPr>
            </w:pPr>
            <w:r>
              <w:rPr>
                <w:lang w:val="en-US"/>
              </w:rPr>
              <w:t>Money and training to incentivi</w:t>
            </w:r>
            <w:r w:rsidR="004802DA">
              <w:rPr>
                <w:lang w:val="en-US"/>
              </w:rPr>
              <w:t>s</w:t>
            </w:r>
            <w:r>
              <w:rPr>
                <w:lang w:val="en-US"/>
              </w:rPr>
              <w:t>e the inclusion of access ready dwellings within all new developments at two stories and above</w:t>
            </w:r>
          </w:p>
        </w:tc>
        <w:tc>
          <w:tcPr>
            <w:tcW w:w="4111" w:type="dxa"/>
            <w:shd w:val="clear" w:color="auto" w:fill="F3F3F3"/>
          </w:tcPr>
          <w:p w14:paraId="02248F9B" w14:textId="26D4ECED" w:rsidR="00CA2055" w:rsidRDefault="00C44634" w:rsidP="00BB38A7">
            <w:pPr>
              <w:rPr>
                <w:lang w:val="en-US"/>
              </w:rPr>
            </w:pPr>
            <w:r>
              <w:rPr>
                <w:lang w:val="en-US"/>
              </w:rPr>
              <w:t xml:space="preserve">Greater numbers of medium to high density dwellings are part of the stated policy of the ACT Government in its Planning Review and the ACT Housing Strategy.  </w:t>
            </w:r>
            <w:r w:rsidR="00E8365A">
              <w:rPr>
                <w:lang w:val="en-US"/>
              </w:rPr>
              <w:t xml:space="preserve">The ACT is currently in a development boom with medium – higher densities predominating.  </w:t>
            </w:r>
            <w:r w:rsidR="005868FE">
              <w:rPr>
                <w:lang w:val="en-US"/>
              </w:rPr>
              <w:t xml:space="preserve">The </w:t>
            </w:r>
            <w:r w:rsidR="00E94EE1">
              <w:rPr>
                <w:lang w:val="en-US"/>
              </w:rPr>
              <w:t xml:space="preserve">Governments own modeling predicts the </w:t>
            </w:r>
            <w:r w:rsidR="005868FE" w:rsidRPr="005868FE">
              <w:rPr>
                <w:lang w:val="en-US"/>
              </w:rPr>
              <w:t xml:space="preserve">ACT </w:t>
            </w:r>
            <w:r w:rsidR="00E94EE1">
              <w:rPr>
                <w:lang w:val="en-US"/>
              </w:rPr>
              <w:t xml:space="preserve">is </w:t>
            </w:r>
            <w:r w:rsidR="005868FE" w:rsidRPr="005868FE">
              <w:rPr>
                <w:lang w:val="en-US"/>
              </w:rPr>
              <w:t>chart</w:t>
            </w:r>
            <w:r w:rsidR="00E94EE1">
              <w:rPr>
                <w:lang w:val="en-US"/>
              </w:rPr>
              <w:t>ing a</w:t>
            </w:r>
            <w:r w:rsidR="005868FE" w:rsidRPr="005868FE">
              <w:rPr>
                <w:lang w:val="en-US"/>
              </w:rPr>
              <w:t xml:space="preserve"> path to 784,000 residents</w:t>
            </w:r>
            <w:r w:rsidR="00E94EE1">
              <w:rPr>
                <w:lang w:val="en-US"/>
              </w:rPr>
              <w:t xml:space="preserve"> between now and 2060 – focused on new denser development on the Northside of the Territory.   </w:t>
            </w:r>
          </w:p>
        </w:tc>
      </w:tr>
      <w:tr w:rsidR="0060710E" w14:paraId="4C0EF519" w14:textId="77777777" w:rsidTr="00EE6066">
        <w:tc>
          <w:tcPr>
            <w:tcW w:w="2766" w:type="dxa"/>
            <w:vMerge/>
            <w:shd w:val="clear" w:color="auto" w:fill="F3F3F3"/>
          </w:tcPr>
          <w:p w14:paraId="07BBA788" w14:textId="77777777" w:rsidR="0060710E" w:rsidRDefault="0060710E" w:rsidP="00BB38A7">
            <w:pPr>
              <w:rPr>
                <w:lang w:val="en-US"/>
              </w:rPr>
            </w:pPr>
          </w:p>
        </w:tc>
        <w:tc>
          <w:tcPr>
            <w:tcW w:w="2785" w:type="dxa"/>
            <w:shd w:val="clear" w:color="auto" w:fill="F3F3F3"/>
          </w:tcPr>
          <w:p w14:paraId="4516B1DF" w14:textId="6DCB89B8" w:rsidR="0060710E" w:rsidRDefault="0060710E" w:rsidP="00BE0E08">
            <w:pPr>
              <w:rPr>
                <w:lang w:val="en-US"/>
              </w:rPr>
            </w:pPr>
            <w:r>
              <w:rPr>
                <w:lang w:val="en-US"/>
              </w:rPr>
              <w:t xml:space="preserve">Devolution from Group Housing </w:t>
            </w:r>
          </w:p>
        </w:tc>
        <w:tc>
          <w:tcPr>
            <w:tcW w:w="4225" w:type="dxa"/>
            <w:shd w:val="clear" w:color="auto" w:fill="F3F3F3"/>
          </w:tcPr>
          <w:p w14:paraId="12B28AF6" w14:textId="59170C3C" w:rsidR="0060710E" w:rsidRPr="002A497F" w:rsidRDefault="0060710E" w:rsidP="002A497F">
            <w:pPr>
              <w:rPr>
                <w:lang w:val="en-US"/>
              </w:rPr>
            </w:pPr>
            <w:r>
              <w:rPr>
                <w:lang w:val="en-US"/>
              </w:rPr>
              <w:t xml:space="preserve">Funding to support devolution of people with disability from group housing into independent housing </w:t>
            </w:r>
          </w:p>
        </w:tc>
        <w:tc>
          <w:tcPr>
            <w:tcW w:w="4111" w:type="dxa"/>
            <w:shd w:val="clear" w:color="auto" w:fill="F3F3F3"/>
          </w:tcPr>
          <w:p w14:paraId="6689B5C3" w14:textId="386A3335" w:rsidR="0060710E" w:rsidRDefault="00915E60" w:rsidP="00BB38A7">
            <w:pPr>
              <w:rPr>
                <w:lang w:val="en-US"/>
              </w:rPr>
            </w:pPr>
            <w:r>
              <w:rPr>
                <w:lang w:val="en-US"/>
              </w:rPr>
              <w:t xml:space="preserve">See above for rationale.  </w:t>
            </w:r>
            <w:r w:rsidR="004D35AB">
              <w:rPr>
                <w:lang w:val="en-US"/>
              </w:rPr>
              <w:t>Funding a ‘devolution’ program would help people in group homes to widen their housing choices and give them information, tools and practical support in setting up in housing arrang</w:t>
            </w:r>
            <w:r w:rsidR="004824D8">
              <w:rPr>
                <w:lang w:val="en-US"/>
              </w:rPr>
              <w:t>ements which support personal independence, freedom from abuse and wellbeing (while meeting our obligations under Article 19 of the CRPD)</w:t>
            </w:r>
          </w:p>
        </w:tc>
      </w:tr>
      <w:tr w:rsidR="003C38B8" w14:paraId="60F0ED9B" w14:textId="77777777" w:rsidTr="5DFCCB07">
        <w:tc>
          <w:tcPr>
            <w:tcW w:w="2766" w:type="dxa"/>
            <w:vMerge w:val="restart"/>
          </w:tcPr>
          <w:p w14:paraId="55780B07" w14:textId="77777777" w:rsidR="003C38B8" w:rsidRDefault="003C38B8" w:rsidP="00BB38A7">
            <w:pPr>
              <w:rPr>
                <w:b/>
                <w:bCs/>
                <w:lang w:val="en-US"/>
              </w:rPr>
            </w:pPr>
            <w:r w:rsidRPr="00F525F1">
              <w:rPr>
                <w:b/>
                <w:bCs/>
                <w:lang w:val="en-US"/>
              </w:rPr>
              <w:t xml:space="preserve">Planning and transport </w:t>
            </w:r>
          </w:p>
          <w:p w14:paraId="6FC870FA" w14:textId="77777777" w:rsidR="009165B1" w:rsidRDefault="009165B1" w:rsidP="00BB38A7">
            <w:pPr>
              <w:rPr>
                <w:b/>
                <w:bCs/>
                <w:lang w:val="en-US"/>
              </w:rPr>
            </w:pPr>
          </w:p>
          <w:p w14:paraId="00883CC2" w14:textId="53BED3AB" w:rsidR="009165B1" w:rsidRDefault="009165B1" w:rsidP="00BB38A7">
            <w:pPr>
              <w:rPr>
                <w:i/>
                <w:iCs/>
                <w:lang w:val="en-US"/>
              </w:rPr>
            </w:pPr>
            <w:r w:rsidRPr="00A301E2">
              <w:rPr>
                <w:i/>
                <w:iCs/>
                <w:lang w:val="en-US"/>
              </w:rPr>
              <w:t xml:space="preserve">Funding to </w:t>
            </w:r>
            <w:r w:rsidR="00A301E2" w:rsidRPr="00A301E2">
              <w:rPr>
                <w:i/>
                <w:iCs/>
                <w:lang w:val="en-US"/>
              </w:rPr>
              <w:t xml:space="preserve">build social planning capacity and responses and </w:t>
            </w:r>
            <w:r w:rsidRPr="00A301E2">
              <w:rPr>
                <w:i/>
                <w:iCs/>
                <w:lang w:val="en-US"/>
              </w:rPr>
              <w:t>ensure planning, city infrastructure, community facilities and transport links meet the needs of older people and people and people with</w:t>
            </w:r>
            <w:r w:rsidR="00442D93">
              <w:rPr>
                <w:i/>
                <w:iCs/>
                <w:lang w:val="en-US"/>
              </w:rPr>
              <w:t xml:space="preserve"> </w:t>
            </w:r>
            <w:r w:rsidRPr="00A301E2">
              <w:rPr>
                <w:i/>
                <w:iCs/>
                <w:lang w:val="en-US"/>
              </w:rPr>
              <w:t xml:space="preserve">disabilities </w:t>
            </w:r>
          </w:p>
          <w:p w14:paraId="6EDF3AD2" w14:textId="77777777" w:rsidR="002F4AE6" w:rsidRDefault="002F4AE6" w:rsidP="00BB38A7">
            <w:pPr>
              <w:rPr>
                <w:i/>
                <w:iCs/>
                <w:lang w:val="en-US"/>
              </w:rPr>
            </w:pPr>
          </w:p>
          <w:p w14:paraId="04E084AF" w14:textId="77777777" w:rsidR="002F4AE6" w:rsidRDefault="002F4AE6" w:rsidP="002F4AE6">
            <w:pPr>
              <w:rPr>
                <w:i/>
                <w:iCs/>
                <w:lang w:val="en-US"/>
              </w:rPr>
            </w:pPr>
          </w:p>
          <w:p w14:paraId="344EE180" w14:textId="454513D4" w:rsidR="002F4AE6" w:rsidRPr="0002005E" w:rsidRDefault="002F4AE6" w:rsidP="002F4AE6">
            <w:pPr>
              <w:rPr>
                <w:sz w:val="20"/>
                <w:szCs w:val="20"/>
                <w:lang w:val="en-US"/>
              </w:rPr>
            </w:pPr>
            <w:r w:rsidRPr="0002005E">
              <w:rPr>
                <w:sz w:val="20"/>
                <w:szCs w:val="20"/>
                <w:lang w:val="en-US"/>
              </w:rPr>
              <w:t>Supports delivery of outcomes under Wellbeing Indicator</w:t>
            </w:r>
            <w:r w:rsidR="009A1457">
              <w:rPr>
                <w:sz w:val="20"/>
                <w:szCs w:val="20"/>
                <w:lang w:val="en-US"/>
              </w:rPr>
              <w:t xml:space="preserve"> </w:t>
            </w:r>
            <w:hyperlink r:id="rId53" w:history="1">
              <w:r w:rsidR="009A1457" w:rsidRPr="00854B48">
                <w:rPr>
                  <w:rStyle w:val="Hyperlink"/>
                  <w:sz w:val="20"/>
                  <w:szCs w:val="20"/>
                  <w:lang w:val="en-US"/>
                </w:rPr>
                <w:t>Access to services</w:t>
              </w:r>
            </w:hyperlink>
            <w:r w:rsidR="009A1457">
              <w:rPr>
                <w:sz w:val="20"/>
                <w:szCs w:val="20"/>
                <w:lang w:val="en-US"/>
              </w:rPr>
              <w:t xml:space="preserve">, </w:t>
            </w:r>
            <w:hyperlink r:id="rId54" w:history="1">
              <w:r w:rsidR="009A1457" w:rsidRPr="00854B48">
                <w:rPr>
                  <w:rStyle w:val="Hyperlink"/>
                  <w:sz w:val="20"/>
                  <w:szCs w:val="20"/>
                  <w:lang w:val="en-US"/>
                </w:rPr>
                <w:t>Liveable city</w:t>
              </w:r>
            </w:hyperlink>
            <w:r w:rsidR="009A1457">
              <w:rPr>
                <w:sz w:val="20"/>
                <w:szCs w:val="20"/>
                <w:lang w:val="en-US"/>
              </w:rPr>
              <w:t xml:space="preserve">, and </w:t>
            </w:r>
            <w:hyperlink r:id="rId55" w:history="1">
              <w:r w:rsidR="009A1457" w:rsidRPr="00854B48">
                <w:rPr>
                  <w:rStyle w:val="Hyperlink"/>
                  <w:sz w:val="20"/>
                  <w:szCs w:val="20"/>
                  <w:lang w:val="en-US"/>
                </w:rPr>
                <w:t>Transport use and access</w:t>
              </w:r>
            </w:hyperlink>
            <w:r w:rsidR="007B4638">
              <w:rPr>
                <w:sz w:val="20"/>
                <w:szCs w:val="20"/>
                <w:lang w:val="en-US"/>
              </w:rPr>
              <w:t xml:space="preserve"> </w:t>
            </w:r>
          </w:p>
          <w:p w14:paraId="512DC09E" w14:textId="77777777" w:rsidR="002F4AE6" w:rsidRPr="0002005E" w:rsidRDefault="002F4AE6" w:rsidP="002F4AE6">
            <w:pPr>
              <w:rPr>
                <w:i/>
                <w:iCs/>
                <w:sz w:val="20"/>
                <w:szCs w:val="20"/>
                <w:lang w:val="en-US"/>
              </w:rPr>
            </w:pPr>
          </w:p>
          <w:p w14:paraId="390F3BB0" w14:textId="4A6B1E56" w:rsidR="002F4AE6" w:rsidRPr="00A301E2" w:rsidRDefault="002F4AE6" w:rsidP="002F4AE6">
            <w:pPr>
              <w:rPr>
                <w:i/>
                <w:iCs/>
                <w:lang w:val="en-US"/>
              </w:rPr>
            </w:pPr>
            <w:r w:rsidRPr="0002005E">
              <w:rPr>
                <w:sz w:val="20"/>
                <w:szCs w:val="20"/>
                <w:lang w:val="en-US"/>
              </w:rPr>
              <w:t xml:space="preserve">Enables compliance with CRPD </w:t>
            </w:r>
            <w:hyperlink r:id="rId56" w:history="1">
              <w:r w:rsidRPr="00B54353">
                <w:rPr>
                  <w:rStyle w:val="Hyperlink"/>
                  <w:sz w:val="20"/>
                  <w:szCs w:val="20"/>
                  <w:lang w:val="en-US"/>
                </w:rPr>
                <w:t xml:space="preserve">Article </w:t>
              </w:r>
              <w:r w:rsidR="00704F6E" w:rsidRPr="00B54353">
                <w:rPr>
                  <w:rStyle w:val="Hyperlink"/>
                  <w:sz w:val="20"/>
                  <w:szCs w:val="20"/>
                  <w:lang w:val="en-US"/>
                </w:rPr>
                <w:t>9 – Accessibility</w:t>
              </w:r>
            </w:hyperlink>
            <w:r w:rsidR="00704F6E">
              <w:rPr>
                <w:sz w:val="20"/>
                <w:szCs w:val="20"/>
                <w:lang w:val="en-US"/>
              </w:rPr>
              <w:t xml:space="preserve"> </w:t>
            </w:r>
            <w:r w:rsidR="00F06ADA">
              <w:rPr>
                <w:sz w:val="20"/>
                <w:szCs w:val="20"/>
                <w:lang w:val="en-US"/>
              </w:rPr>
              <w:t xml:space="preserve">and </w:t>
            </w:r>
            <w:hyperlink r:id="rId57" w:history="1">
              <w:r w:rsidR="00F06ADA" w:rsidRPr="00725042">
                <w:rPr>
                  <w:rStyle w:val="Hyperlink"/>
                  <w:sz w:val="20"/>
                  <w:szCs w:val="20"/>
                  <w:lang w:val="en-US"/>
                </w:rPr>
                <w:t xml:space="preserve">Article 19 – Living Independently and Being Included in the Community </w:t>
              </w:r>
            </w:hyperlink>
            <w:r w:rsidR="00F06ADA">
              <w:rPr>
                <w:sz w:val="20"/>
                <w:szCs w:val="20"/>
                <w:lang w:val="en-US"/>
              </w:rPr>
              <w:t xml:space="preserve"> </w:t>
            </w:r>
          </w:p>
        </w:tc>
        <w:tc>
          <w:tcPr>
            <w:tcW w:w="2785" w:type="dxa"/>
          </w:tcPr>
          <w:p w14:paraId="18719659" w14:textId="5307D190" w:rsidR="003C38B8" w:rsidRDefault="00EF57C6" w:rsidP="00EF57C6">
            <w:pPr>
              <w:rPr>
                <w:lang w:val="en-US"/>
              </w:rPr>
            </w:pPr>
            <w:r w:rsidRPr="00EF57C6">
              <w:rPr>
                <w:lang w:val="en-US"/>
              </w:rPr>
              <w:t>Funding to ensure the new ACT Planning System supports adequate planning for people with disability in new built infrastructure</w:t>
            </w:r>
          </w:p>
        </w:tc>
        <w:tc>
          <w:tcPr>
            <w:tcW w:w="4225" w:type="dxa"/>
          </w:tcPr>
          <w:p w14:paraId="053703D8" w14:textId="2DF7933A" w:rsidR="007B5A3D" w:rsidRPr="007B5A3D" w:rsidRDefault="007B5A3D" w:rsidP="007B5A3D">
            <w:pPr>
              <w:rPr>
                <w:lang w:val="en-US"/>
              </w:rPr>
            </w:pPr>
            <w:r w:rsidRPr="007B5A3D">
              <w:rPr>
                <w:lang w:val="en-US"/>
              </w:rPr>
              <w:t xml:space="preserve">Funding for a social planning unit </w:t>
            </w:r>
            <w:r w:rsidR="00C30187">
              <w:rPr>
                <w:lang w:val="en-US"/>
              </w:rPr>
              <w:t xml:space="preserve">within the new ACT planning system </w:t>
            </w:r>
            <w:r w:rsidR="000C004B">
              <w:rPr>
                <w:lang w:val="en-US"/>
              </w:rPr>
              <w:t xml:space="preserve">focused on improving planning for universal design </w:t>
            </w:r>
            <w:r w:rsidR="00C30187">
              <w:rPr>
                <w:lang w:val="en-US"/>
              </w:rPr>
              <w:t>and ensuring lived experience voice of p</w:t>
            </w:r>
            <w:r w:rsidR="0063144C">
              <w:rPr>
                <w:lang w:val="en-US"/>
              </w:rPr>
              <w:t>eople with disability</w:t>
            </w:r>
            <w:r w:rsidR="00C30187">
              <w:rPr>
                <w:lang w:val="en-US"/>
              </w:rPr>
              <w:t xml:space="preserve"> and older Canberrans is heard in planning and neighborhood voice forums</w:t>
            </w:r>
          </w:p>
          <w:p w14:paraId="58A18BC7" w14:textId="2A9B3A54" w:rsidR="003C38B8" w:rsidRDefault="007B5A3D" w:rsidP="007B5A3D">
            <w:pPr>
              <w:rPr>
                <w:lang w:val="en-US"/>
              </w:rPr>
            </w:pPr>
            <w:r w:rsidRPr="007B5A3D">
              <w:rPr>
                <w:lang w:val="en-US"/>
              </w:rPr>
              <w:t>Funding to train planners, builders and certifiers to improve accessibility</w:t>
            </w:r>
          </w:p>
        </w:tc>
        <w:tc>
          <w:tcPr>
            <w:tcW w:w="4111" w:type="dxa"/>
          </w:tcPr>
          <w:p w14:paraId="472BFD33" w14:textId="07A6F001" w:rsidR="00921702" w:rsidRPr="00921702" w:rsidRDefault="00921702" w:rsidP="00921702">
            <w:pPr>
              <w:rPr>
                <w:lang w:val="en-US"/>
              </w:rPr>
            </w:pPr>
            <w:r>
              <w:rPr>
                <w:lang w:val="en-US"/>
              </w:rPr>
              <w:t xml:space="preserve">AFI supports a greater focus on social planning in the ACT which will in turn deliver space, places and infrastructure to support wellbeing.  </w:t>
            </w:r>
          </w:p>
          <w:p w14:paraId="7D9D5AA0" w14:textId="77777777" w:rsidR="00921702" w:rsidRPr="00921702" w:rsidRDefault="00921702" w:rsidP="00921702">
            <w:pPr>
              <w:rPr>
                <w:lang w:val="en-US"/>
              </w:rPr>
            </w:pPr>
            <w:r w:rsidRPr="00921702">
              <w:rPr>
                <w:lang w:val="en-US"/>
              </w:rPr>
              <w:t xml:space="preserve">The Planning Institute of Australia describes social planning as: </w:t>
            </w:r>
          </w:p>
          <w:p w14:paraId="286FED5B" w14:textId="77777777" w:rsidR="003C38B8" w:rsidRDefault="00921702" w:rsidP="00921702">
            <w:pPr>
              <w:rPr>
                <w:lang w:val="en-US"/>
              </w:rPr>
            </w:pPr>
            <w:r w:rsidRPr="00921702">
              <w:rPr>
                <w:lang w:val="en-US"/>
              </w:rPr>
              <w:t>planning for the needs and aspirations of people and communities through strategic policy and action, integrated with urban, regional and other planning activity. Social planning is founded on the principles of social justice (equity, access, participation and rights) and aims to enhance community well-being and effectiveness.</w:t>
            </w:r>
          </w:p>
          <w:p w14:paraId="487C3B04" w14:textId="50B32A5A" w:rsidR="009F354A" w:rsidRDefault="009F354A" w:rsidP="00921702">
            <w:pPr>
              <w:rPr>
                <w:lang w:val="en-US"/>
              </w:rPr>
            </w:pPr>
            <w:r>
              <w:rPr>
                <w:lang w:val="en-US"/>
              </w:rPr>
              <w:t xml:space="preserve">The ACT lacks some of the layers of municipal government which would enable social planning to happen – we don’t have </w:t>
            </w:r>
            <w:r w:rsidR="001278A5">
              <w:rPr>
                <w:lang w:val="en-US"/>
              </w:rPr>
              <w:t>local level Access Committees nor are the</w:t>
            </w:r>
            <w:r w:rsidR="00E625EA">
              <w:rPr>
                <w:lang w:val="en-US"/>
              </w:rPr>
              <w:t>re</w:t>
            </w:r>
            <w:r w:rsidR="001278A5">
              <w:rPr>
                <w:lang w:val="en-US"/>
              </w:rPr>
              <w:t xml:space="preserve"> regular programs to </w:t>
            </w:r>
            <w:r w:rsidR="00331E00">
              <w:rPr>
                <w:lang w:val="en-US"/>
              </w:rPr>
              <w:t>train, develop and encourage accessibility practice</w:t>
            </w:r>
          </w:p>
        </w:tc>
      </w:tr>
      <w:tr w:rsidR="003C38B8" w14:paraId="4AA7E65D" w14:textId="77777777" w:rsidTr="5DFCCB07">
        <w:tc>
          <w:tcPr>
            <w:tcW w:w="2766" w:type="dxa"/>
            <w:vMerge/>
          </w:tcPr>
          <w:p w14:paraId="426B2852" w14:textId="77777777" w:rsidR="003C38B8" w:rsidRPr="00F525F1" w:rsidRDefault="003C38B8" w:rsidP="00BB38A7">
            <w:pPr>
              <w:rPr>
                <w:b/>
                <w:bCs/>
                <w:lang w:val="en-US"/>
              </w:rPr>
            </w:pPr>
          </w:p>
        </w:tc>
        <w:tc>
          <w:tcPr>
            <w:tcW w:w="2785" w:type="dxa"/>
          </w:tcPr>
          <w:p w14:paraId="23F6B60C" w14:textId="1E4FD29F" w:rsidR="003C38B8" w:rsidRDefault="00A853D7" w:rsidP="00BE0E08">
            <w:pPr>
              <w:rPr>
                <w:lang w:val="en-US"/>
              </w:rPr>
            </w:pPr>
            <w:r w:rsidRPr="00A853D7">
              <w:rPr>
                <w:lang w:val="en-US"/>
              </w:rPr>
              <w:t>Accessibility audit and improvements*</w:t>
            </w:r>
          </w:p>
        </w:tc>
        <w:tc>
          <w:tcPr>
            <w:tcW w:w="4225" w:type="dxa"/>
          </w:tcPr>
          <w:p w14:paraId="166F5F77" w14:textId="502D6972" w:rsidR="00AB2760" w:rsidRPr="00AB2760" w:rsidRDefault="00AB2760" w:rsidP="00AB2760">
            <w:pPr>
              <w:rPr>
                <w:lang w:val="en-US"/>
              </w:rPr>
            </w:pPr>
            <w:r w:rsidRPr="5DFCCB07">
              <w:rPr>
                <w:lang w:val="en-US"/>
              </w:rPr>
              <w:t xml:space="preserve">Funding for a rolling program of </w:t>
            </w:r>
            <w:r w:rsidR="4AFF4333" w:rsidRPr="5DFCCB07">
              <w:rPr>
                <w:lang w:val="en-US"/>
              </w:rPr>
              <w:t>stock take</w:t>
            </w:r>
            <w:r w:rsidRPr="5DFCCB07">
              <w:rPr>
                <w:lang w:val="en-US"/>
              </w:rPr>
              <w:t xml:space="preserve">, audits and accessibility </w:t>
            </w:r>
          </w:p>
          <w:p w14:paraId="49AE27A7" w14:textId="77777777" w:rsidR="00AB2760" w:rsidRPr="00AB2760" w:rsidRDefault="00AB2760" w:rsidP="00AB2760">
            <w:pPr>
              <w:rPr>
                <w:lang w:val="en-US"/>
              </w:rPr>
            </w:pPr>
            <w:r w:rsidRPr="00AB2760">
              <w:rPr>
                <w:lang w:val="en-US"/>
              </w:rPr>
              <w:lastRenderedPageBreak/>
              <w:t xml:space="preserve">improvements to spaces, places, urban infrastructure and community facilities in </w:t>
            </w:r>
          </w:p>
          <w:p w14:paraId="4AB2B630" w14:textId="39342030" w:rsidR="003C38B8" w:rsidRDefault="00AB2760" w:rsidP="00AB2760">
            <w:pPr>
              <w:rPr>
                <w:lang w:val="en-US"/>
              </w:rPr>
            </w:pPr>
            <w:r w:rsidRPr="00AB2760">
              <w:rPr>
                <w:lang w:val="en-US"/>
              </w:rPr>
              <w:t>the ACT guided by lived experience</w:t>
            </w:r>
          </w:p>
        </w:tc>
        <w:tc>
          <w:tcPr>
            <w:tcW w:w="4111" w:type="dxa"/>
          </w:tcPr>
          <w:p w14:paraId="45042262" w14:textId="561046D6" w:rsidR="003C38B8" w:rsidRDefault="00C50E7F" w:rsidP="00BB38A7">
            <w:pPr>
              <w:rPr>
                <w:lang w:val="en-US"/>
              </w:rPr>
            </w:pPr>
            <w:r w:rsidRPr="5DFCCB07">
              <w:rPr>
                <w:lang w:val="en-US"/>
              </w:rPr>
              <w:lastRenderedPageBreak/>
              <w:t xml:space="preserve">Accessibility issues persist in parts of the city, group </w:t>
            </w:r>
            <w:r w:rsidR="0CCA35B5" w:rsidRPr="5DFCCB07">
              <w:rPr>
                <w:lang w:val="en-US"/>
              </w:rPr>
              <w:t>centers</w:t>
            </w:r>
            <w:r w:rsidRPr="5DFCCB07">
              <w:rPr>
                <w:lang w:val="en-US"/>
              </w:rPr>
              <w:t xml:space="preserve">, community </w:t>
            </w:r>
            <w:r w:rsidR="001B7FD3" w:rsidRPr="5DFCCB07">
              <w:rPr>
                <w:lang w:val="en-US"/>
              </w:rPr>
              <w:t>facilities</w:t>
            </w:r>
            <w:r w:rsidRPr="5DFCCB07">
              <w:rPr>
                <w:lang w:val="en-US"/>
              </w:rPr>
              <w:t xml:space="preserve"> and paths.  </w:t>
            </w:r>
            <w:r w:rsidR="001B7FD3" w:rsidRPr="5DFCCB07">
              <w:rPr>
                <w:lang w:val="en-US"/>
              </w:rPr>
              <w:t xml:space="preserve">Work by the former PWDACT </w:t>
            </w:r>
            <w:r w:rsidR="001B7FD3" w:rsidRPr="5DFCCB07">
              <w:rPr>
                <w:lang w:val="en-US"/>
              </w:rPr>
              <w:lastRenderedPageBreak/>
              <w:t xml:space="preserve">as well as Living Streets and Pedal Power </w:t>
            </w:r>
            <w:r w:rsidR="00133354" w:rsidRPr="5DFCCB07">
              <w:rPr>
                <w:lang w:val="en-US"/>
              </w:rPr>
              <w:t xml:space="preserve">has highlighted these issues over </w:t>
            </w:r>
            <w:r w:rsidR="00E625EA" w:rsidRPr="5DFCCB07">
              <w:rPr>
                <w:lang w:val="en-US"/>
              </w:rPr>
              <w:t>several</w:t>
            </w:r>
            <w:r w:rsidR="00133354" w:rsidRPr="5DFCCB07">
              <w:rPr>
                <w:lang w:val="en-US"/>
              </w:rPr>
              <w:t xml:space="preserve"> years.  Complaints about accessibility form a small but consistent area of the complaints load of </w:t>
            </w:r>
            <w:r w:rsidR="00CF4002" w:rsidRPr="5DFCCB07">
              <w:rPr>
                <w:lang w:val="en-US"/>
              </w:rPr>
              <w:t xml:space="preserve">the ACT HRC and AFI.  </w:t>
            </w:r>
          </w:p>
        </w:tc>
      </w:tr>
      <w:tr w:rsidR="003C38B8" w14:paraId="3AAC6966" w14:textId="77777777" w:rsidTr="5DFCCB07">
        <w:tc>
          <w:tcPr>
            <w:tcW w:w="2766" w:type="dxa"/>
            <w:vMerge/>
          </w:tcPr>
          <w:p w14:paraId="5BAF762F" w14:textId="77777777" w:rsidR="003C38B8" w:rsidRDefault="003C38B8" w:rsidP="00BB38A7">
            <w:pPr>
              <w:rPr>
                <w:lang w:val="en-US"/>
              </w:rPr>
            </w:pPr>
          </w:p>
        </w:tc>
        <w:tc>
          <w:tcPr>
            <w:tcW w:w="2785" w:type="dxa"/>
          </w:tcPr>
          <w:p w14:paraId="7555C89B" w14:textId="41A2F0B5" w:rsidR="003C38B8" w:rsidRDefault="003C38B8" w:rsidP="00BE0E08">
            <w:pPr>
              <w:rPr>
                <w:lang w:val="en-US"/>
              </w:rPr>
            </w:pPr>
            <w:r>
              <w:rPr>
                <w:lang w:val="en-US"/>
              </w:rPr>
              <w:t xml:space="preserve">Accessibility improvements </w:t>
            </w:r>
          </w:p>
        </w:tc>
        <w:tc>
          <w:tcPr>
            <w:tcW w:w="4225" w:type="dxa"/>
          </w:tcPr>
          <w:p w14:paraId="76FDD2D9" w14:textId="70C82132" w:rsidR="003C38B8" w:rsidRDefault="003C38B8" w:rsidP="002A497F">
            <w:pPr>
              <w:rPr>
                <w:lang w:val="en-US"/>
              </w:rPr>
            </w:pPr>
            <w:r>
              <w:rPr>
                <w:lang w:val="en-US"/>
              </w:rPr>
              <w:t xml:space="preserve">Small grants to encourage accessibility improvements in older </w:t>
            </w:r>
            <w:r w:rsidR="00362AFA">
              <w:rPr>
                <w:lang w:val="en-US"/>
              </w:rPr>
              <w:t xml:space="preserve">precincts and premises </w:t>
            </w:r>
            <w:r>
              <w:rPr>
                <w:lang w:val="en-US"/>
              </w:rPr>
              <w:t xml:space="preserve">  </w:t>
            </w:r>
          </w:p>
        </w:tc>
        <w:tc>
          <w:tcPr>
            <w:tcW w:w="4111" w:type="dxa"/>
          </w:tcPr>
          <w:p w14:paraId="028EC872" w14:textId="114FD755" w:rsidR="003C38B8" w:rsidRDefault="000C5E09" w:rsidP="00BB38A7">
            <w:pPr>
              <w:rPr>
                <w:lang w:val="en-US"/>
              </w:rPr>
            </w:pPr>
            <w:r>
              <w:rPr>
                <w:lang w:val="en-US"/>
              </w:rPr>
              <w:t xml:space="preserve">PWDACT’s Access Survey found persistent gaps and barriers in older parts of Canberra like the cities retail courts.  </w:t>
            </w:r>
          </w:p>
        </w:tc>
      </w:tr>
      <w:tr w:rsidR="003C38B8" w14:paraId="54BD4FE0" w14:textId="77777777" w:rsidTr="5DFCCB07">
        <w:tc>
          <w:tcPr>
            <w:tcW w:w="2766" w:type="dxa"/>
            <w:vMerge/>
          </w:tcPr>
          <w:p w14:paraId="20E46BFD" w14:textId="77777777" w:rsidR="003C38B8" w:rsidRDefault="003C38B8" w:rsidP="00BB38A7">
            <w:pPr>
              <w:rPr>
                <w:lang w:val="en-US"/>
              </w:rPr>
            </w:pPr>
          </w:p>
        </w:tc>
        <w:tc>
          <w:tcPr>
            <w:tcW w:w="2785" w:type="dxa"/>
          </w:tcPr>
          <w:p w14:paraId="760F81C7" w14:textId="0D922BA8" w:rsidR="003C38B8" w:rsidRDefault="003C38B8" w:rsidP="00BE0E08">
            <w:pPr>
              <w:rPr>
                <w:lang w:val="en-US"/>
              </w:rPr>
            </w:pPr>
            <w:r>
              <w:rPr>
                <w:lang w:val="en-US"/>
              </w:rPr>
              <w:t>Improve the ACT Taxi Subsidy Scheme</w:t>
            </w:r>
          </w:p>
        </w:tc>
        <w:tc>
          <w:tcPr>
            <w:tcW w:w="4225" w:type="dxa"/>
          </w:tcPr>
          <w:p w14:paraId="4BF2AA53" w14:textId="01F4D8D7" w:rsidR="003C38B8" w:rsidRDefault="003C38B8" w:rsidP="002A497F">
            <w:pPr>
              <w:rPr>
                <w:lang w:val="en-US"/>
              </w:rPr>
            </w:pPr>
            <w:r>
              <w:rPr>
                <w:lang w:val="en-US"/>
              </w:rPr>
              <w:t>Implement A</w:t>
            </w:r>
            <w:r w:rsidR="008968DA">
              <w:rPr>
                <w:lang w:val="en-US"/>
              </w:rPr>
              <w:t xml:space="preserve">uditor </w:t>
            </w:r>
            <w:r>
              <w:rPr>
                <w:lang w:val="en-US"/>
              </w:rPr>
              <w:t>G</w:t>
            </w:r>
            <w:r w:rsidR="008968DA">
              <w:rPr>
                <w:lang w:val="en-US"/>
              </w:rPr>
              <w:t xml:space="preserve">eneral </w:t>
            </w:r>
            <w:r>
              <w:rPr>
                <w:lang w:val="en-US"/>
              </w:rPr>
              <w:t>recommendations, remove cap and subsidy limit</w:t>
            </w:r>
          </w:p>
        </w:tc>
        <w:tc>
          <w:tcPr>
            <w:tcW w:w="4111" w:type="dxa"/>
          </w:tcPr>
          <w:p w14:paraId="377D15E2" w14:textId="2EBEC869" w:rsidR="003C38B8" w:rsidRDefault="00922D0B" w:rsidP="0022044B">
            <w:pPr>
              <w:rPr>
                <w:lang w:val="en-US"/>
              </w:rPr>
            </w:pPr>
            <w:r>
              <w:rPr>
                <w:lang w:val="en-US"/>
              </w:rPr>
              <w:t xml:space="preserve">On 14 June 2022 the Auditor General found that </w:t>
            </w:r>
            <w:r w:rsidR="0022044B">
              <w:rPr>
                <w:lang w:val="en-US"/>
              </w:rPr>
              <w:t>t</w:t>
            </w:r>
            <w:r w:rsidR="0022044B" w:rsidRPr="0022044B">
              <w:rPr>
                <w:lang w:val="en-US"/>
              </w:rPr>
              <w:t>here is also no documented rationale for the Scheme’s subsidy amounts and subsidy caps, nor is there documentation showing what information was used to establish the subsidy amounts and subsidy caps. There is no regular review of the Scheme’s subsidy amounts and subsidy caps; the amounts were last updated in 2014.</w:t>
            </w:r>
          </w:p>
        </w:tc>
      </w:tr>
      <w:tr w:rsidR="003C38B8" w14:paraId="6096D6C6" w14:textId="77777777" w:rsidTr="5DFCCB07">
        <w:tc>
          <w:tcPr>
            <w:tcW w:w="2766" w:type="dxa"/>
            <w:vMerge/>
          </w:tcPr>
          <w:p w14:paraId="2030EB26" w14:textId="77777777" w:rsidR="003C38B8" w:rsidRDefault="003C38B8" w:rsidP="00BB38A7">
            <w:pPr>
              <w:rPr>
                <w:lang w:val="en-US"/>
              </w:rPr>
            </w:pPr>
          </w:p>
        </w:tc>
        <w:tc>
          <w:tcPr>
            <w:tcW w:w="2785" w:type="dxa"/>
          </w:tcPr>
          <w:p w14:paraId="0FB9E3FA" w14:textId="6FEBFD6C" w:rsidR="003C38B8" w:rsidRDefault="003C38B8" w:rsidP="00BE0E08">
            <w:pPr>
              <w:rPr>
                <w:lang w:val="en-US"/>
              </w:rPr>
            </w:pPr>
            <w:r>
              <w:rPr>
                <w:lang w:val="en-US"/>
              </w:rPr>
              <w:t>Diversify and improve the Wheelchair Accessible Taxi Fleet</w:t>
            </w:r>
          </w:p>
        </w:tc>
        <w:tc>
          <w:tcPr>
            <w:tcW w:w="4225" w:type="dxa"/>
          </w:tcPr>
          <w:p w14:paraId="696BB91F" w14:textId="05893EC3" w:rsidR="003C38B8" w:rsidRDefault="003C38B8" w:rsidP="002A497F">
            <w:pPr>
              <w:rPr>
                <w:lang w:val="en-US"/>
              </w:rPr>
            </w:pPr>
            <w:r>
              <w:rPr>
                <w:lang w:val="en-US"/>
              </w:rPr>
              <w:t>Encourage greater diversity of accessible vehicles within the ACT’s fleet</w:t>
            </w:r>
          </w:p>
        </w:tc>
        <w:tc>
          <w:tcPr>
            <w:tcW w:w="4111" w:type="dxa"/>
          </w:tcPr>
          <w:p w14:paraId="64A9C927" w14:textId="6877951F" w:rsidR="003C38B8" w:rsidRDefault="00984574" w:rsidP="00BB38A7">
            <w:pPr>
              <w:rPr>
                <w:lang w:val="en-US"/>
              </w:rPr>
            </w:pPr>
            <w:r>
              <w:rPr>
                <w:lang w:val="en-US"/>
              </w:rPr>
              <w:t xml:space="preserve">The quality and comfort of the ACT’s disability taxi fleet is a persistent </w:t>
            </w:r>
            <w:r w:rsidR="002C0C66">
              <w:rPr>
                <w:lang w:val="en-US"/>
              </w:rPr>
              <w:t xml:space="preserve">complaint in </w:t>
            </w:r>
            <w:r w:rsidR="006732C7">
              <w:rPr>
                <w:lang w:val="en-US"/>
              </w:rPr>
              <w:t xml:space="preserve">the ACT disability community.  The ACT currently only offers transport in large vans designed for commercial transit.  Some people find travelling in these uncomfortable and frightening.  A diversification of the fleet </w:t>
            </w:r>
            <w:r w:rsidR="000C0D29">
              <w:rPr>
                <w:lang w:val="en-US"/>
              </w:rPr>
              <w:t xml:space="preserve">would represent a service improvement.  </w:t>
            </w:r>
            <w:r w:rsidR="006732C7">
              <w:rPr>
                <w:lang w:val="en-US"/>
              </w:rPr>
              <w:t xml:space="preserve"> </w:t>
            </w:r>
            <w:r>
              <w:rPr>
                <w:lang w:val="en-US"/>
              </w:rPr>
              <w:t xml:space="preserve"> </w:t>
            </w:r>
          </w:p>
        </w:tc>
      </w:tr>
      <w:tr w:rsidR="003C38B8" w14:paraId="040001F0" w14:textId="77777777" w:rsidTr="5DFCCB07">
        <w:tc>
          <w:tcPr>
            <w:tcW w:w="2766" w:type="dxa"/>
            <w:vMerge/>
          </w:tcPr>
          <w:p w14:paraId="41383C59" w14:textId="77777777" w:rsidR="003C38B8" w:rsidRDefault="003C38B8" w:rsidP="00BB38A7">
            <w:pPr>
              <w:rPr>
                <w:lang w:val="en-US"/>
              </w:rPr>
            </w:pPr>
          </w:p>
        </w:tc>
        <w:tc>
          <w:tcPr>
            <w:tcW w:w="2785" w:type="dxa"/>
          </w:tcPr>
          <w:p w14:paraId="256FEDF0" w14:textId="067043F7" w:rsidR="003C38B8" w:rsidRDefault="003C38B8" w:rsidP="00BE0E08">
            <w:pPr>
              <w:rPr>
                <w:lang w:val="en-US"/>
              </w:rPr>
            </w:pPr>
            <w:r>
              <w:rPr>
                <w:lang w:val="en-US"/>
              </w:rPr>
              <w:t xml:space="preserve">Delivery Fully Accessible Bus Network </w:t>
            </w:r>
          </w:p>
        </w:tc>
        <w:tc>
          <w:tcPr>
            <w:tcW w:w="4225" w:type="dxa"/>
          </w:tcPr>
          <w:p w14:paraId="5207CE3A" w14:textId="392EA850" w:rsidR="003C38B8" w:rsidRDefault="003C38B8" w:rsidP="002A497F">
            <w:pPr>
              <w:rPr>
                <w:lang w:val="en-US"/>
              </w:rPr>
            </w:pPr>
            <w:r>
              <w:rPr>
                <w:lang w:val="en-US"/>
              </w:rPr>
              <w:t>Accelerate retirement of the largely inaccessible Renault diesel buses and deliver complete accessibility of the entire network within the next 1-2 years</w:t>
            </w:r>
          </w:p>
        </w:tc>
        <w:tc>
          <w:tcPr>
            <w:tcW w:w="4111" w:type="dxa"/>
          </w:tcPr>
          <w:p w14:paraId="107F7033" w14:textId="681B3FEE" w:rsidR="003C38B8" w:rsidRDefault="00B45C42" w:rsidP="00BB38A7">
            <w:pPr>
              <w:rPr>
                <w:lang w:val="en-US"/>
              </w:rPr>
            </w:pPr>
            <w:r w:rsidRPr="5DFCCB07">
              <w:rPr>
                <w:lang w:val="en-US"/>
              </w:rPr>
              <w:t xml:space="preserve">The Disability Standards for Accessible Public Transport, which were first implemented in 2002, included a 31 December 2022 deadline for when the older buses would need to cease </w:t>
            </w:r>
            <w:r w:rsidRPr="5DFCCB07">
              <w:rPr>
                <w:lang w:val="en-US"/>
              </w:rPr>
              <w:lastRenderedPageBreak/>
              <w:t>operation. Despite this</w:t>
            </w:r>
            <w:r w:rsidR="00E865AD">
              <w:rPr>
                <w:lang w:val="en-US"/>
              </w:rPr>
              <w:t>,</w:t>
            </w:r>
            <w:r w:rsidRPr="5DFCCB07">
              <w:rPr>
                <w:lang w:val="en-US"/>
              </w:rPr>
              <w:t xml:space="preserve"> the older Diesel buses are still operating.  </w:t>
            </w:r>
            <w:r w:rsidR="0F55250C" w:rsidRPr="5DFCCB07">
              <w:rPr>
                <w:lang w:val="en-US"/>
              </w:rPr>
              <w:t>Maintaining</w:t>
            </w:r>
            <w:r w:rsidRPr="5DFCCB07">
              <w:rPr>
                <w:lang w:val="en-US"/>
              </w:rPr>
              <w:t xml:space="preserve"> a mixed fleet means that </w:t>
            </w:r>
            <w:r w:rsidR="54FA1C30" w:rsidRPr="5DFCCB07">
              <w:rPr>
                <w:lang w:val="en-US"/>
              </w:rPr>
              <w:t>travelers</w:t>
            </w:r>
            <w:r w:rsidRPr="5DFCCB07">
              <w:rPr>
                <w:lang w:val="en-US"/>
              </w:rPr>
              <w:t xml:space="preserve"> with disability can have limited confidence that a scheduled bus will not be replaced with an older inaccessible bus.  Governments have had decades to make this transition and should now finalise it.  </w:t>
            </w:r>
          </w:p>
        </w:tc>
      </w:tr>
      <w:tr w:rsidR="00BC41A5" w14:paraId="3F73466F" w14:textId="77777777" w:rsidTr="00EE6066">
        <w:tc>
          <w:tcPr>
            <w:tcW w:w="2766" w:type="dxa"/>
            <w:tcBorders>
              <w:bottom w:val="single" w:sz="4" w:space="0" w:color="auto"/>
            </w:tcBorders>
          </w:tcPr>
          <w:p w14:paraId="7CB9D88D" w14:textId="77777777" w:rsidR="00BC41A5" w:rsidRDefault="00BC41A5" w:rsidP="00BC41A5">
            <w:pPr>
              <w:rPr>
                <w:lang w:val="en-US"/>
              </w:rPr>
            </w:pPr>
          </w:p>
        </w:tc>
        <w:tc>
          <w:tcPr>
            <w:tcW w:w="2785" w:type="dxa"/>
            <w:tcBorders>
              <w:bottom w:val="single" w:sz="4" w:space="0" w:color="auto"/>
            </w:tcBorders>
          </w:tcPr>
          <w:p w14:paraId="00B584D3" w14:textId="7130F68C" w:rsidR="00BC41A5" w:rsidRDefault="00BC41A5" w:rsidP="00BC41A5">
            <w:pPr>
              <w:rPr>
                <w:lang w:val="en-US"/>
              </w:rPr>
            </w:pPr>
            <w:r>
              <w:rPr>
                <w:lang w:val="en-US"/>
              </w:rPr>
              <w:t xml:space="preserve">Community transport </w:t>
            </w:r>
          </w:p>
        </w:tc>
        <w:tc>
          <w:tcPr>
            <w:tcW w:w="4225" w:type="dxa"/>
            <w:tcBorders>
              <w:bottom w:val="single" w:sz="4" w:space="0" w:color="auto"/>
            </w:tcBorders>
          </w:tcPr>
          <w:p w14:paraId="4EB53FD5" w14:textId="73938F31" w:rsidR="00BC41A5" w:rsidRDefault="00BC41A5" w:rsidP="00BC41A5">
            <w:pPr>
              <w:rPr>
                <w:lang w:val="en-US"/>
              </w:rPr>
            </w:pPr>
            <w:r w:rsidRPr="00BB38A7">
              <w:rPr>
                <w:lang w:val="en-US"/>
              </w:rPr>
              <w:t>Funding for community transport including a safe accessible fleet at sustainable levels</w:t>
            </w:r>
          </w:p>
        </w:tc>
        <w:tc>
          <w:tcPr>
            <w:tcW w:w="4111" w:type="dxa"/>
            <w:tcBorders>
              <w:bottom w:val="single" w:sz="4" w:space="0" w:color="auto"/>
            </w:tcBorders>
          </w:tcPr>
          <w:p w14:paraId="1A5EBC87" w14:textId="1822BEA1" w:rsidR="00BC41A5" w:rsidRDefault="00E0219D" w:rsidP="00BC41A5">
            <w:pPr>
              <w:rPr>
                <w:lang w:val="en-US"/>
              </w:rPr>
            </w:pPr>
            <w:r>
              <w:rPr>
                <w:lang w:val="en-US"/>
              </w:rPr>
              <w:t xml:space="preserve">Community transport is an important transport service for people with disability and frail aged Canberrans to assist with transport to medical appointments, community activities, hospital and other essential appointments.  </w:t>
            </w:r>
            <w:r w:rsidR="009E7F96">
              <w:rPr>
                <w:lang w:val="en-US"/>
              </w:rPr>
              <w:t>Funding needs to be ongoing and guaranteed so services can upgrade fleet</w:t>
            </w:r>
            <w:r w:rsidR="006D156A">
              <w:rPr>
                <w:lang w:val="en-US"/>
              </w:rPr>
              <w:t>, moderni</w:t>
            </w:r>
            <w:r w:rsidR="00630D5F">
              <w:rPr>
                <w:lang w:val="en-US"/>
              </w:rPr>
              <w:t>s</w:t>
            </w:r>
            <w:r w:rsidR="006D156A">
              <w:rPr>
                <w:lang w:val="en-US"/>
              </w:rPr>
              <w:t xml:space="preserve">e accessibility features and undertake business planning.  </w:t>
            </w:r>
          </w:p>
        </w:tc>
      </w:tr>
      <w:tr w:rsidR="004D7116" w14:paraId="543362B3" w14:textId="77777777" w:rsidTr="00EE6066">
        <w:tc>
          <w:tcPr>
            <w:tcW w:w="2766" w:type="dxa"/>
            <w:vMerge w:val="restart"/>
            <w:shd w:val="clear" w:color="auto" w:fill="F3F3F3"/>
          </w:tcPr>
          <w:p w14:paraId="2FA9C021" w14:textId="21F32D72" w:rsidR="004D7116" w:rsidRPr="00F525F1" w:rsidRDefault="004D7116" w:rsidP="00BB38A7">
            <w:pPr>
              <w:rPr>
                <w:b/>
                <w:bCs/>
                <w:lang w:val="en-US"/>
              </w:rPr>
            </w:pPr>
            <w:r w:rsidRPr="00F525F1">
              <w:rPr>
                <w:b/>
                <w:bCs/>
                <w:lang w:val="en-US"/>
              </w:rPr>
              <w:t xml:space="preserve">COVID </w:t>
            </w:r>
            <w:r w:rsidR="00521A8F">
              <w:rPr>
                <w:b/>
                <w:bCs/>
                <w:lang w:val="en-US"/>
              </w:rPr>
              <w:t>disability response</w:t>
            </w:r>
          </w:p>
          <w:p w14:paraId="12182959" w14:textId="77777777" w:rsidR="004D7116" w:rsidRDefault="004D7116" w:rsidP="00BB38A7">
            <w:pPr>
              <w:rPr>
                <w:lang w:val="en-US"/>
              </w:rPr>
            </w:pPr>
          </w:p>
          <w:p w14:paraId="164AD2D0" w14:textId="77777777" w:rsidR="004D7116" w:rsidRDefault="00043378" w:rsidP="00BB38A7">
            <w:pPr>
              <w:rPr>
                <w:i/>
                <w:iCs/>
                <w:lang w:val="en-US"/>
              </w:rPr>
            </w:pPr>
            <w:r w:rsidRPr="00167BCE">
              <w:rPr>
                <w:i/>
                <w:iCs/>
                <w:lang w:val="en-US"/>
              </w:rPr>
              <w:t>A funding package to mitigate the effects of COVID on people with disability and other vulnerable Canberrans. This should include funding for public health measures, service continuity, social inclusion and information to people with disabilities impacted by COVID19</w:t>
            </w:r>
            <w:r w:rsidR="009266A9" w:rsidRPr="00167BCE">
              <w:rPr>
                <w:i/>
                <w:iCs/>
                <w:lang w:val="en-US"/>
              </w:rPr>
              <w:t xml:space="preserve"> and to implement </w:t>
            </w:r>
            <w:r w:rsidR="009266A9" w:rsidRPr="00167BCE">
              <w:rPr>
                <w:i/>
                <w:iCs/>
                <w:lang w:val="en-US"/>
              </w:rPr>
              <w:lastRenderedPageBreak/>
              <w:t>recommendations from the Long COVID inquiry</w:t>
            </w:r>
          </w:p>
          <w:p w14:paraId="678B25B1" w14:textId="77777777" w:rsidR="001951A4" w:rsidRDefault="001951A4" w:rsidP="00BB38A7">
            <w:pPr>
              <w:rPr>
                <w:i/>
                <w:iCs/>
                <w:lang w:val="en-US"/>
              </w:rPr>
            </w:pPr>
          </w:p>
          <w:p w14:paraId="6BC8F6B9" w14:textId="77777777" w:rsidR="001951A4" w:rsidRDefault="001951A4" w:rsidP="001951A4">
            <w:pPr>
              <w:rPr>
                <w:i/>
                <w:iCs/>
                <w:lang w:val="en-US"/>
              </w:rPr>
            </w:pPr>
          </w:p>
          <w:p w14:paraId="17AE1A69" w14:textId="1A4DF369" w:rsidR="001951A4" w:rsidRPr="0002005E" w:rsidRDefault="001951A4" w:rsidP="001951A4">
            <w:pPr>
              <w:rPr>
                <w:sz w:val="20"/>
                <w:szCs w:val="20"/>
                <w:lang w:val="en-US"/>
              </w:rPr>
            </w:pPr>
            <w:r w:rsidRPr="0002005E">
              <w:rPr>
                <w:sz w:val="20"/>
                <w:szCs w:val="20"/>
                <w:lang w:val="en-US"/>
              </w:rPr>
              <w:t>Supports delivery of outcomes under Wellbeing Indicator</w:t>
            </w:r>
            <w:r w:rsidR="006B34F5">
              <w:rPr>
                <w:sz w:val="20"/>
                <w:szCs w:val="20"/>
                <w:lang w:val="en-US"/>
              </w:rPr>
              <w:t xml:space="preserve"> </w:t>
            </w:r>
            <w:hyperlink r:id="rId58" w:history="1">
              <w:r w:rsidR="006B34F5" w:rsidRPr="0050154A">
                <w:rPr>
                  <w:rStyle w:val="Hyperlink"/>
                  <w:sz w:val="20"/>
                  <w:szCs w:val="20"/>
                  <w:lang w:val="en-US"/>
                </w:rPr>
                <w:t>Access to health services</w:t>
              </w:r>
            </w:hyperlink>
            <w:r w:rsidR="00407E66">
              <w:rPr>
                <w:sz w:val="20"/>
                <w:szCs w:val="20"/>
                <w:lang w:val="en-US"/>
              </w:rPr>
              <w:t>,</w:t>
            </w:r>
            <w:r w:rsidR="00D025EA">
              <w:rPr>
                <w:sz w:val="20"/>
                <w:szCs w:val="20"/>
                <w:lang w:val="en-US"/>
              </w:rPr>
              <w:t xml:space="preserve"> </w:t>
            </w:r>
            <w:hyperlink r:id="rId59" w:history="1">
              <w:r w:rsidR="00A63EF9" w:rsidRPr="009F7CAE">
                <w:rPr>
                  <w:rStyle w:val="Hyperlink"/>
                  <w:sz w:val="20"/>
                  <w:szCs w:val="20"/>
                  <w:lang w:val="en-US"/>
                </w:rPr>
                <w:t>Community resilience to emergencies</w:t>
              </w:r>
            </w:hyperlink>
            <w:r w:rsidR="00407E66">
              <w:rPr>
                <w:sz w:val="20"/>
                <w:szCs w:val="20"/>
                <w:lang w:val="en-US"/>
              </w:rPr>
              <w:t xml:space="preserve"> and </w:t>
            </w:r>
            <w:hyperlink r:id="rId60" w:history="1">
              <w:r w:rsidR="00407E66" w:rsidRPr="00CD7C4B">
                <w:rPr>
                  <w:rStyle w:val="Hyperlink"/>
                  <w:sz w:val="20"/>
                  <w:szCs w:val="20"/>
                  <w:lang w:val="en-US"/>
                </w:rPr>
                <w:t>Sense of belonging and inclusion</w:t>
              </w:r>
            </w:hyperlink>
          </w:p>
          <w:p w14:paraId="0D37E3B9" w14:textId="77777777" w:rsidR="001951A4" w:rsidRPr="0002005E" w:rsidRDefault="001951A4" w:rsidP="001951A4">
            <w:pPr>
              <w:rPr>
                <w:i/>
                <w:iCs/>
                <w:sz w:val="20"/>
                <w:szCs w:val="20"/>
                <w:lang w:val="en-US"/>
              </w:rPr>
            </w:pPr>
          </w:p>
          <w:p w14:paraId="54CDFE7A" w14:textId="65CA0232" w:rsidR="001951A4" w:rsidRPr="00167BCE" w:rsidRDefault="001951A4" w:rsidP="001951A4">
            <w:pPr>
              <w:rPr>
                <w:i/>
                <w:iCs/>
                <w:lang w:val="en-US"/>
              </w:rPr>
            </w:pPr>
            <w:r w:rsidRPr="0002005E">
              <w:rPr>
                <w:sz w:val="20"/>
                <w:szCs w:val="20"/>
                <w:lang w:val="en-US"/>
              </w:rPr>
              <w:t xml:space="preserve">Enables compliance with CRPD </w:t>
            </w:r>
            <w:hyperlink r:id="rId61" w:history="1">
              <w:r w:rsidRPr="00265F55">
                <w:rPr>
                  <w:rStyle w:val="Hyperlink"/>
                  <w:sz w:val="20"/>
                  <w:szCs w:val="20"/>
                  <w:lang w:val="en-US"/>
                </w:rPr>
                <w:t xml:space="preserve">Article </w:t>
              </w:r>
              <w:r w:rsidR="00903FDE" w:rsidRPr="00265F55">
                <w:rPr>
                  <w:rStyle w:val="Hyperlink"/>
                  <w:sz w:val="20"/>
                  <w:szCs w:val="20"/>
                  <w:lang w:val="en-US"/>
                </w:rPr>
                <w:t xml:space="preserve">11 – Situations of Risk and Humanitarian </w:t>
              </w:r>
              <w:r w:rsidR="00265F55" w:rsidRPr="00265F55">
                <w:rPr>
                  <w:rStyle w:val="Hyperlink"/>
                  <w:sz w:val="20"/>
                  <w:szCs w:val="20"/>
                  <w:lang w:val="en-US"/>
                </w:rPr>
                <w:t>Emergencies</w:t>
              </w:r>
            </w:hyperlink>
            <w:r w:rsidR="00F44296">
              <w:rPr>
                <w:sz w:val="20"/>
                <w:szCs w:val="20"/>
                <w:lang w:val="en-US"/>
              </w:rPr>
              <w:t xml:space="preserve"> and </w:t>
            </w:r>
            <w:hyperlink r:id="rId62" w:history="1">
              <w:r w:rsidR="00F44296" w:rsidRPr="007F0E6C">
                <w:rPr>
                  <w:rStyle w:val="Hyperlink"/>
                  <w:sz w:val="20"/>
                  <w:szCs w:val="20"/>
                  <w:lang w:val="en-US"/>
                </w:rPr>
                <w:t>Article 26 – Habilitation and Rehabilitation</w:t>
              </w:r>
            </w:hyperlink>
          </w:p>
        </w:tc>
        <w:tc>
          <w:tcPr>
            <w:tcW w:w="2785" w:type="dxa"/>
            <w:shd w:val="clear" w:color="auto" w:fill="F3F3F3"/>
          </w:tcPr>
          <w:p w14:paraId="7DA87DCF" w14:textId="4E34AF3E" w:rsidR="004D7116" w:rsidRDefault="004D7116" w:rsidP="00BB38A7">
            <w:pPr>
              <w:rPr>
                <w:lang w:val="en-US"/>
              </w:rPr>
            </w:pPr>
            <w:r>
              <w:rPr>
                <w:lang w:val="en-US"/>
              </w:rPr>
              <w:lastRenderedPageBreak/>
              <w:t xml:space="preserve">Community development </w:t>
            </w:r>
            <w:r w:rsidR="008B746D">
              <w:rPr>
                <w:lang w:val="en-US"/>
              </w:rPr>
              <w:t xml:space="preserve">programs which address the </w:t>
            </w:r>
            <w:r>
              <w:rPr>
                <w:lang w:val="en-US"/>
              </w:rPr>
              <w:t xml:space="preserve">social inclusion of isolated people </w:t>
            </w:r>
          </w:p>
        </w:tc>
        <w:tc>
          <w:tcPr>
            <w:tcW w:w="4225" w:type="dxa"/>
            <w:shd w:val="clear" w:color="auto" w:fill="F3F3F3"/>
          </w:tcPr>
          <w:p w14:paraId="43EF7931" w14:textId="62965CD8" w:rsidR="004D7116" w:rsidRDefault="00A81441" w:rsidP="00BB38A7">
            <w:pPr>
              <w:rPr>
                <w:lang w:val="en-US"/>
              </w:rPr>
            </w:pPr>
            <w:r>
              <w:rPr>
                <w:lang w:val="en-US"/>
              </w:rPr>
              <w:t xml:space="preserve">Funding for online communities and gatherings to </w:t>
            </w:r>
            <w:r w:rsidR="002A71F1">
              <w:rPr>
                <w:lang w:val="en-US"/>
              </w:rPr>
              <w:t xml:space="preserve">help people with disabilities who are still shielding remain connected </w:t>
            </w:r>
          </w:p>
        </w:tc>
        <w:tc>
          <w:tcPr>
            <w:tcW w:w="4111" w:type="dxa"/>
            <w:shd w:val="clear" w:color="auto" w:fill="F3F3F3"/>
          </w:tcPr>
          <w:p w14:paraId="5509248A" w14:textId="65414F5D" w:rsidR="004D7116" w:rsidRDefault="008377D9" w:rsidP="00BB38A7">
            <w:pPr>
              <w:rPr>
                <w:lang w:val="en-US"/>
              </w:rPr>
            </w:pPr>
            <w:r>
              <w:rPr>
                <w:lang w:val="en-US"/>
              </w:rPr>
              <w:t xml:space="preserve">Many people with disability are continuing to shield to avoid COVID based on medical advice and in line with Government policies urging people to take personal responsibility for their own health.  Three years into the pandemic this is deepening and worsening isolation in an already isolated group as connections fray and fall away. </w:t>
            </w:r>
            <w:r w:rsidR="000C010B">
              <w:rPr>
                <w:lang w:val="en-US"/>
              </w:rPr>
              <w:t xml:space="preserve">On average, people with disability experience social exclusion </w:t>
            </w:r>
            <w:hyperlink r:id="rId63" w:history="1">
              <w:r w:rsidR="000C010B" w:rsidRPr="00577A80">
                <w:rPr>
                  <w:rStyle w:val="Hyperlink"/>
                  <w:lang w:val="en-US"/>
                </w:rPr>
                <w:t>at double the rate</w:t>
              </w:r>
            </w:hyperlink>
            <w:r w:rsidR="000C010B">
              <w:rPr>
                <w:lang w:val="en-US"/>
              </w:rPr>
              <w:t xml:space="preserve"> of people without disability. </w:t>
            </w:r>
            <w:r w:rsidR="00362753">
              <w:rPr>
                <w:lang w:val="en-US"/>
              </w:rPr>
              <w:t>Social inclusion can counteract isolation and increase community participation</w:t>
            </w:r>
            <w:r w:rsidR="00286079">
              <w:rPr>
                <w:lang w:val="en-US"/>
              </w:rPr>
              <w:t xml:space="preserve">. This can help to alleviate health problems, </w:t>
            </w:r>
            <w:r w:rsidR="00286079">
              <w:rPr>
                <w:lang w:val="en-US"/>
              </w:rPr>
              <w:lastRenderedPageBreak/>
              <w:t xml:space="preserve">especially mental health issues such as anxiety and depression. </w:t>
            </w:r>
          </w:p>
        </w:tc>
      </w:tr>
      <w:tr w:rsidR="004D7116" w14:paraId="29C9EE70" w14:textId="77777777" w:rsidTr="00EE6066">
        <w:tc>
          <w:tcPr>
            <w:tcW w:w="2766" w:type="dxa"/>
            <w:vMerge/>
            <w:shd w:val="clear" w:color="auto" w:fill="F3F3F3"/>
          </w:tcPr>
          <w:p w14:paraId="7DC85F3B" w14:textId="77777777" w:rsidR="004D7116" w:rsidRDefault="004D7116" w:rsidP="00BB38A7">
            <w:pPr>
              <w:rPr>
                <w:lang w:val="en-US"/>
              </w:rPr>
            </w:pPr>
          </w:p>
        </w:tc>
        <w:tc>
          <w:tcPr>
            <w:tcW w:w="2785" w:type="dxa"/>
            <w:shd w:val="clear" w:color="auto" w:fill="F3F3F3"/>
          </w:tcPr>
          <w:p w14:paraId="0AFA5EFC" w14:textId="3B1156BF" w:rsidR="004D7116" w:rsidRDefault="004D7116" w:rsidP="00BB38A7">
            <w:pPr>
              <w:rPr>
                <w:lang w:val="en-US"/>
              </w:rPr>
            </w:pPr>
            <w:r>
              <w:rPr>
                <w:lang w:val="en-US"/>
              </w:rPr>
              <w:t>Funding to support and mitigate long COVID – rehabilitation, allied health, disability advocacy, peer support</w:t>
            </w:r>
          </w:p>
        </w:tc>
        <w:tc>
          <w:tcPr>
            <w:tcW w:w="4225" w:type="dxa"/>
            <w:shd w:val="clear" w:color="auto" w:fill="F3F3F3"/>
          </w:tcPr>
          <w:p w14:paraId="421AA976" w14:textId="1CF89575" w:rsidR="004D7116" w:rsidRDefault="00EB1F2F" w:rsidP="00BB38A7">
            <w:pPr>
              <w:rPr>
                <w:lang w:val="en-US"/>
              </w:rPr>
            </w:pPr>
            <w:r>
              <w:rPr>
                <w:lang w:val="en-US"/>
              </w:rPr>
              <w:t xml:space="preserve">Integrated programs which support people with long COVID to be rehabilitated, connected to peer support and receive advocacy.  </w:t>
            </w:r>
          </w:p>
        </w:tc>
        <w:tc>
          <w:tcPr>
            <w:tcW w:w="4111" w:type="dxa"/>
            <w:shd w:val="clear" w:color="auto" w:fill="F3F3F3"/>
          </w:tcPr>
          <w:p w14:paraId="13E3EB63" w14:textId="47DFA971" w:rsidR="004D7116" w:rsidRDefault="006106F7" w:rsidP="00BB38A7">
            <w:pPr>
              <w:rPr>
                <w:lang w:val="en-US"/>
              </w:rPr>
            </w:pPr>
            <w:r>
              <w:rPr>
                <w:lang w:val="en-US"/>
              </w:rPr>
              <w:t xml:space="preserve">The World Health Organization estimates that </w:t>
            </w:r>
            <w:r w:rsidR="00B71A32">
              <w:rPr>
                <w:lang w:val="en-US"/>
              </w:rPr>
              <w:t>long COVID affects 10-20</w:t>
            </w:r>
            <w:r w:rsidR="009F5BEA">
              <w:rPr>
                <w:lang w:val="en-US"/>
              </w:rPr>
              <w:t xml:space="preserve">% of people who have a COVID-19 infection. </w:t>
            </w:r>
            <w:r w:rsidR="009C4107">
              <w:rPr>
                <w:lang w:val="en-US"/>
              </w:rPr>
              <w:t xml:space="preserve">A </w:t>
            </w:r>
            <w:hyperlink r:id="rId64" w:history="1">
              <w:r w:rsidR="0097443D" w:rsidRPr="00C66508">
                <w:rPr>
                  <w:rStyle w:val="Hyperlink"/>
                  <w:lang w:val="en-US"/>
                </w:rPr>
                <w:t>recent study</w:t>
              </w:r>
            </w:hyperlink>
            <w:r w:rsidR="0097443D">
              <w:rPr>
                <w:lang w:val="en-US"/>
              </w:rPr>
              <w:t xml:space="preserve"> noted that</w:t>
            </w:r>
            <w:r w:rsidR="00893E8B">
              <w:rPr>
                <w:lang w:val="en-US"/>
              </w:rPr>
              <w:t>, so far, 400,000 Australians are likely to be left with disabilities due to COVID with over 100,000 people with a serious disability, and another 300,00</w:t>
            </w:r>
            <w:r w:rsidR="00142297">
              <w:rPr>
                <w:lang w:val="en-US"/>
              </w:rPr>
              <w:t xml:space="preserve">0 with activity limiting disabilities. </w:t>
            </w:r>
            <w:r w:rsidR="0070686D">
              <w:rPr>
                <w:lang w:val="en-US"/>
              </w:rPr>
              <w:t xml:space="preserve">Research warns that people </w:t>
            </w:r>
            <w:r w:rsidR="00093491">
              <w:rPr>
                <w:lang w:val="en-US"/>
              </w:rPr>
              <w:t xml:space="preserve">who have had COVID are at an increased risk of developing brain disorders such as psychosis, seizures or epilepsy, brain fog and dementia throughout the two years post initial infection. </w:t>
            </w:r>
          </w:p>
        </w:tc>
      </w:tr>
      <w:tr w:rsidR="00D37ECE" w14:paraId="22E9884D" w14:textId="77777777" w:rsidTr="5DFCCB07">
        <w:tc>
          <w:tcPr>
            <w:tcW w:w="2766" w:type="dxa"/>
            <w:vMerge w:val="restart"/>
          </w:tcPr>
          <w:p w14:paraId="2CFC552B" w14:textId="77777777" w:rsidR="00D37ECE" w:rsidRPr="008A0531" w:rsidRDefault="00D37ECE" w:rsidP="00BB38A7">
            <w:pPr>
              <w:rPr>
                <w:b/>
                <w:bCs/>
                <w:lang w:val="en-US"/>
              </w:rPr>
            </w:pPr>
            <w:r w:rsidRPr="008A0531">
              <w:rPr>
                <w:b/>
                <w:bCs/>
                <w:lang w:val="en-US"/>
              </w:rPr>
              <w:t xml:space="preserve">VAD response package </w:t>
            </w:r>
          </w:p>
          <w:p w14:paraId="449BB61B" w14:textId="77777777" w:rsidR="00D37ECE" w:rsidRDefault="00D37ECE" w:rsidP="00BB38A7">
            <w:pPr>
              <w:rPr>
                <w:lang w:val="en-US"/>
              </w:rPr>
            </w:pPr>
          </w:p>
          <w:p w14:paraId="4326BCB0" w14:textId="77777777" w:rsidR="00D37ECE" w:rsidRDefault="00D37ECE" w:rsidP="00BB38A7">
            <w:pPr>
              <w:rPr>
                <w:i/>
                <w:iCs/>
                <w:lang w:val="en-US"/>
              </w:rPr>
            </w:pPr>
            <w:r w:rsidRPr="00167BCE">
              <w:rPr>
                <w:i/>
                <w:iCs/>
                <w:lang w:val="en-US"/>
              </w:rPr>
              <w:t>A funding package to response to unintended outcomes, risks and support needs arising from the introduction of Voluntary Assisted Dying in the ACT</w:t>
            </w:r>
          </w:p>
          <w:p w14:paraId="619FEEC1" w14:textId="77777777" w:rsidR="001951A4" w:rsidRDefault="001951A4" w:rsidP="00BB38A7">
            <w:pPr>
              <w:rPr>
                <w:i/>
                <w:iCs/>
                <w:lang w:val="en-US"/>
              </w:rPr>
            </w:pPr>
          </w:p>
          <w:p w14:paraId="4F975BDF" w14:textId="77777777" w:rsidR="001951A4" w:rsidRDefault="001951A4" w:rsidP="001951A4">
            <w:pPr>
              <w:rPr>
                <w:i/>
                <w:iCs/>
                <w:lang w:val="en-US"/>
              </w:rPr>
            </w:pPr>
          </w:p>
          <w:p w14:paraId="7CAC5A37" w14:textId="32FD9F8C" w:rsidR="001951A4" w:rsidRPr="0002005E" w:rsidRDefault="001951A4" w:rsidP="001951A4">
            <w:pPr>
              <w:rPr>
                <w:sz w:val="20"/>
                <w:szCs w:val="20"/>
                <w:lang w:val="en-US"/>
              </w:rPr>
            </w:pPr>
            <w:r w:rsidRPr="0002005E">
              <w:rPr>
                <w:sz w:val="20"/>
                <w:szCs w:val="20"/>
                <w:lang w:val="en-US"/>
              </w:rPr>
              <w:t xml:space="preserve">Supports delivery of outcomes under Wellbeing Indicator </w:t>
            </w:r>
            <w:hyperlink r:id="rId65" w:history="1">
              <w:r w:rsidR="00F446E3" w:rsidRPr="00B777E3">
                <w:rPr>
                  <w:rStyle w:val="Hyperlink"/>
                  <w:sz w:val="20"/>
                  <w:szCs w:val="20"/>
                  <w:lang w:val="en-US"/>
                </w:rPr>
                <w:t>Human rights</w:t>
              </w:r>
            </w:hyperlink>
            <w:r w:rsidR="00F446E3">
              <w:rPr>
                <w:sz w:val="20"/>
                <w:szCs w:val="20"/>
                <w:lang w:val="en-US"/>
              </w:rPr>
              <w:t xml:space="preserve"> and </w:t>
            </w:r>
            <w:hyperlink r:id="rId66" w:history="1">
              <w:r w:rsidR="00F446E3" w:rsidRPr="00F446E3">
                <w:rPr>
                  <w:rStyle w:val="Hyperlink"/>
                  <w:sz w:val="20"/>
                  <w:szCs w:val="20"/>
                  <w:lang w:val="en-US"/>
                </w:rPr>
                <w:t>Feeling that voice and perspective matter</w:t>
              </w:r>
            </w:hyperlink>
          </w:p>
          <w:p w14:paraId="7B0DF8DF" w14:textId="77777777" w:rsidR="001951A4" w:rsidRPr="0002005E" w:rsidRDefault="001951A4" w:rsidP="001951A4">
            <w:pPr>
              <w:rPr>
                <w:i/>
                <w:iCs/>
                <w:sz w:val="20"/>
                <w:szCs w:val="20"/>
                <w:lang w:val="en-US"/>
              </w:rPr>
            </w:pPr>
          </w:p>
          <w:p w14:paraId="42414F3A" w14:textId="3AE324FF" w:rsidR="001951A4" w:rsidRPr="00167BCE" w:rsidRDefault="001951A4" w:rsidP="001951A4">
            <w:pPr>
              <w:rPr>
                <w:i/>
                <w:iCs/>
                <w:lang w:val="en-US"/>
              </w:rPr>
            </w:pPr>
            <w:r w:rsidRPr="0002005E">
              <w:rPr>
                <w:sz w:val="20"/>
                <w:szCs w:val="20"/>
                <w:lang w:val="en-US"/>
              </w:rPr>
              <w:lastRenderedPageBreak/>
              <w:t xml:space="preserve">Enables compliance with CRPD </w:t>
            </w:r>
            <w:hyperlink r:id="rId67" w:history="1">
              <w:r w:rsidRPr="001029C5">
                <w:rPr>
                  <w:rStyle w:val="Hyperlink"/>
                  <w:sz w:val="20"/>
                  <w:szCs w:val="20"/>
                  <w:lang w:val="en-US"/>
                </w:rPr>
                <w:t xml:space="preserve">Article </w:t>
              </w:r>
              <w:r w:rsidR="008A7E40" w:rsidRPr="001029C5">
                <w:rPr>
                  <w:rStyle w:val="Hyperlink"/>
                  <w:sz w:val="20"/>
                  <w:szCs w:val="20"/>
                  <w:lang w:val="en-US"/>
                </w:rPr>
                <w:t xml:space="preserve">10 – Right to </w:t>
              </w:r>
              <w:r w:rsidR="001029C5" w:rsidRPr="001029C5">
                <w:rPr>
                  <w:rStyle w:val="Hyperlink"/>
                  <w:sz w:val="20"/>
                  <w:szCs w:val="20"/>
                  <w:lang w:val="en-US"/>
                </w:rPr>
                <w:t>Life</w:t>
              </w:r>
            </w:hyperlink>
          </w:p>
        </w:tc>
        <w:tc>
          <w:tcPr>
            <w:tcW w:w="2785" w:type="dxa"/>
          </w:tcPr>
          <w:p w14:paraId="5E893571" w14:textId="5CD354C3" w:rsidR="00D37ECE" w:rsidRDefault="00D37ECE" w:rsidP="00BB38A7">
            <w:pPr>
              <w:rPr>
                <w:lang w:val="en-US"/>
              </w:rPr>
            </w:pPr>
            <w:r>
              <w:rPr>
                <w:lang w:val="en-US"/>
              </w:rPr>
              <w:lastRenderedPageBreak/>
              <w:t xml:space="preserve">Life gets better suicide prevention project </w:t>
            </w:r>
          </w:p>
        </w:tc>
        <w:tc>
          <w:tcPr>
            <w:tcW w:w="4225" w:type="dxa"/>
          </w:tcPr>
          <w:p w14:paraId="50D413EE" w14:textId="69148B7F" w:rsidR="00D37ECE" w:rsidRDefault="00D37ECE" w:rsidP="00BB38A7">
            <w:pPr>
              <w:rPr>
                <w:lang w:val="en-US"/>
              </w:rPr>
            </w:pPr>
            <w:r>
              <w:rPr>
                <w:lang w:val="en-US"/>
              </w:rPr>
              <w:t>Funding for suicide prevention work to show life gets better for people with disability and address harmful perceptions and stereotypes of life with disability amplified by VAD debate</w:t>
            </w:r>
          </w:p>
        </w:tc>
        <w:tc>
          <w:tcPr>
            <w:tcW w:w="4111" w:type="dxa"/>
          </w:tcPr>
          <w:p w14:paraId="730D702B" w14:textId="09371356" w:rsidR="00D37ECE" w:rsidRDefault="002C3D07" w:rsidP="00BB38A7">
            <w:pPr>
              <w:rPr>
                <w:lang w:val="en-US"/>
              </w:rPr>
            </w:pPr>
            <w:hyperlink r:id="rId68" w:history="1">
              <w:r w:rsidR="007843D2" w:rsidRPr="007843D2">
                <w:rPr>
                  <w:rStyle w:val="Hyperlink"/>
                  <w:lang w:val="en-US"/>
                </w:rPr>
                <w:t>Studies</w:t>
              </w:r>
            </w:hyperlink>
            <w:r w:rsidR="007843D2">
              <w:rPr>
                <w:lang w:val="en-US"/>
              </w:rPr>
              <w:t xml:space="preserve"> have shown that people with disabilities are up to twice as likely to experience suicidal ideation.  </w:t>
            </w:r>
            <w:r w:rsidR="00713A8F">
              <w:rPr>
                <w:lang w:val="en-US"/>
              </w:rPr>
              <w:t>Debates on Voluntary Assisted Dying create an authori</w:t>
            </w:r>
            <w:r w:rsidR="007C2A98">
              <w:rPr>
                <w:lang w:val="en-US"/>
              </w:rPr>
              <w:t>s</w:t>
            </w:r>
            <w:r w:rsidR="00713A8F">
              <w:rPr>
                <w:lang w:val="en-US"/>
              </w:rPr>
              <w:t xml:space="preserve">ing environment for discussion suicide by a </w:t>
            </w:r>
            <w:r w:rsidR="0095284E">
              <w:rPr>
                <w:lang w:val="en-US"/>
              </w:rPr>
              <w:t>vulnerable</w:t>
            </w:r>
            <w:r w:rsidR="00713A8F">
              <w:rPr>
                <w:lang w:val="en-US"/>
              </w:rPr>
              <w:t xml:space="preserve"> group in the community. </w:t>
            </w:r>
            <w:r w:rsidR="0026453F">
              <w:rPr>
                <w:lang w:val="en-US"/>
              </w:rPr>
              <w:t xml:space="preserve"> Some people with disability who consider or attempt suicide early in their diagnosis change their minds </w:t>
            </w:r>
            <w:r w:rsidR="0095284E">
              <w:rPr>
                <w:lang w:val="en-US"/>
              </w:rPr>
              <w:t xml:space="preserve">after receiving improved quality of life or better disability supports.  </w:t>
            </w:r>
          </w:p>
        </w:tc>
      </w:tr>
      <w:tr w:rsidR="00D37ECE" w14:paraId="438E865A" w14:textId="77777777" w:rsidTr="5DFCCB07">
        <w:tc>
          <w:tcPr>
            <w:tcW w:w="2766" w:type="dxa"/>
            <w:vMerge/>
          </w:tcPr>
          <w:p w14:paraId="47B376BF" w14:textId="77777777" w:rsidR="00D37ECE" w:rsidRDefault="00D37ECE" w:rsidP="00BB38A7">
            <w:pPr>
              <w:rPr>
                <w:lang w:val="en-US"/>
              </w:rPr>
            </w:pPr>
          </w:p>
        </w:tc>
        <w:tc>
          <w:tcPr>
            <w:tcW w:w="2785" w:type="dxa"/>
          </w:tcPr>
          <w:p w14:paraId="4ADF54E7" w14:textId="2F690548" w:rsidR="00D37ECE" w:rsidRDefault="00D37ECE" w:rsidP="00BB38A7">
            <w:pPr>
              <w:rPr>
                <w:lang w:val="en-US"/>
              </w:rPr>
            </w:pPr>
            <w:r>
              <w:rPr>
                <w:lang w:val="en-US"/>
              </w:rPr>
              <w:t>Support guarantee for those seeking VAD</w:t>
            </w:r>
          </w:p>
        </w:tc>
        <w:tc>
          <w:tcPr>
            <w:tcW w:w="4225" w:type="dxa"/>
          </w:tcPr>
          <w:p w14:paraId="74C901C0" w14:textId="17CA4123" w:rsidR="00D37ECE" w:rsidRDefault="00D37ECE" w:rsidP="00BB38A7">
            <w:pPr>
              <w:rPr>
                <w:lang w:val="en-US"/>
              </w:rPr>
            </w:pPr>
            <w:r>
              <w:rPr>
                <w:lang w:val="en-US"/>
              </w:rPr>
              <w:t>Funding pool to ensure people seeking VAD are offered disability supports, healthcare and psychosocial supports to relieve stress, pain and suffering</w:t>
            </w:r>
            <w:r w:rsidR="008377D9">
              <w:rPr>
                <w:lang w:val="en-US"/>
              </w:rPr>
              <w:t xml:space="preserve">.  Supports principle that </w:t>
            </w:r>
            <w:r w:rsidR="008377D9">
              <w:rPr>
                <w:lang w:val="en-US"/>
              </w:rPr>
              <w:lastRenderedPageBreak/>
              <w:t xml:space="preserve">no-one should be offered VAD due a lack of health, disability or psychosocial support.  </w:t>
            </w:r>
          </w:p>
        </w:tc>
        <w:tc>
          <w:tcPr>
            <w:tcW w:w="4111" w:type="dxa"/>
          </w:tcPr>
          <w:p w14:paraId="5E5508CD" w14:textId="582A986C" w:rsidR="00D37ECE" w:rsidRDefault="00D37ECE" w:rsidP="00BB38A7">
            <w:pPr>
              <w:rPr>
                <w:lang w:val="en-US"/>
              </w:rPr>
            </w:pPr>
            <w:r>
              <w:rPr>
                <w:lang w:val="en-US"/>
              </w:rPr>
              <w:lastRenderedPageBreak/>
              <w:t xml:space="preserve">In Canada people requesting disability supports and healthcare are being offered assisted dying instead of supports.  We seek an emergency pool of supports to be </w:t>
            </w:r>
            <w:r>
              <w:rPr>
                <w:lang w:val="en-US"/>
              </w:rPr>
              <w:lastRenderedPageBreak/>
              <w:t>offered to people seeking VAD so this is not an unintended outcome in the ACT</w:t>
            </w:r>
          </w:p>
        </w:tc>
      </w:tr>
      <w:tr w:rsidR="00D37ECE" w14:paraId="3A8813B6" w14:textId="77777777" w:rsidTr="00EE6066">
        <w:tc>
          <w:tcPr>
            <w:tcW w:w="2766" w:type="dxa"/>
            <w:vMerge/>
            <w:tcBorders>
              <w:bottom w:val="single" w:sz="4" w:space="0" w:color="auto"/>
            </w:tcBorders>
          </w:tcPr>
          <w:p w14:paraId="6D37CEF0" w14:textId="77777777" w:rsidR="00D37ECE" w:rsidRDefault="00D37ECE" w:rsidP="00BB38A7">
            <w:pPr>
              <w:rPr>
                <w:lang w:val="en-US"/>
              </w:rPr>
            </w:pPr>
          </w:p>
        </w:tc>
        <w:tc>
          <w:tcPr>
            <w:tcW w:w="2785" w:type="dxa"/>
            <w:tcBorders>
              <w:bottom w:val="single" w:sz="4" w:space="0" w:color="auto"/>
            </w:tcBorders>
          </w:tcPr>
          <w:p w14:paraId="110ACC32" w14:textId="00950CE7" w:rsidR="00D37ECE" w:rsidRDefault="00D37ECE" w:rsidP="00BB38A7">
            <w:pPr>
              <w:rPr>
                <w:lang w:val="en-US"/>
              </w:rPr>
            </w:pPr>
            <w:r>
              <w:rPr>
                <w:lang w:val="en-US"/>
              </w:rPr>
              <w:t>Additional advocacy support</w:t>
            </w:r>
          </w:p>
        </w:tc>
        <w:tc>
          <w:tcPr>
            <w:tcW w:w="4225" w:type="dxa"/>
            <w:tcBorders>
              <w:bottom w:val="single" w:sz="4" w:space="0" w:color="auto"/>
            </w:tcBorders>
          </w:tcPr>
          <w:p w14:paraId="66484924" w14:textId="0F5F9D6F" w:rsidR="00D37ECE" w:rsidRDefault="00D37ECE" w:rsidP="00BB38A7">
            <w:pPr>
              <w:rPr>
                <w:lang w:val="en-US"/>
              </w:rPr>
            </w:pPr>
            <w:r>
              <w:rPr>
                <w:lang w:val="en-US"/>
              </w:rPr>
              <w:t>Advocacy support for people impacted by community debate around VAD and effected by hate speech</w:t>
            </w:r>
          </w:p>
        </w:tc>
        <w:tc>
          <w:tcPr>
            <w:tcW w:w="4111" w:type="dxa"/>
            <w:tcBorders>
              <w:bottom w:val="single" w:sz="4" w:space="0" w:color="auto"/>
            </w:tcBorders>
          </w:tcPr>
          <w:p w14:paraId="401128AD" w14:textId="4D2FFB2A" w:rsidR="00DA57EF" w:rsidRDefault="00E3593C" w:rsidP="00BB38A7">
            <w:pPr>
              <w:rPr>
                <w:lang w:val="en-US"/>
              </w:rPr>
            </w:pPr>
            <w:r>
              <w:rPr>
                <w:lang w:val="en-US"/>
              </w:rPr>
              <w:t xml:space="preserve">Debates on VAD in other </w:t>
            </w:r>
            <w:r w:rsidR="004161A7">
              <w:rPr>
                <w:lang w:val="en-US"/>
              </w:rPr>
              <w:t>jurisdictions</w:t>
            </w:r>
            <w:r>
              <w:rPr>
                <w:lang w:val="en-US"/>
              </w:rPr>
              <w:t xml:space="preserve"> have led to a rise in hate speech</w:t>
            </w:r>
            <w:r w:rsidR="004161A7">
              <w:rPr>
                <w:lang w:val="en-US"/>
              </w:rPr>
              <w:t xml:space="preserve">, trauma and discussions about other forms of violence against people with disabilities.  </w:t>
            </w:r>
            <w:r w:rsidR="004970AD">
              <w:rPr>
                <w:lang w:val="en-US"/>
              </w:rPr>
              <w:t>Governments have in the past supported communities experiencing trauma due to policy debates such as the same sex marriage poll</w:t>
            </w:r>
            <w:r w:rsidR="0043162F">
              <w:rPr>
                <w:lang w:val="en-US"/>
              </w:rPr>
              <w:t xml:space="preserve">. </w:t>
            </w:r>
          </w:p>
          <w:p w14:paraId="7E2AE602" w14:textId="69F1E1B5" w:rsidR="00D37ECE" w:rsidRDefault="000147A2" w:rsidP="00BB38A7">
            <w:pPr>
              <w:rPr>
                <w:lang w:val="en-US"/>
              </w:rPr>
            </w:pPr>
            <w:r>
              <w:rPr>
                <w:lang w:val="en-US"/>
              </w:rPr>
              <w:t xml:space="preserve">VAD </w:t>
            </w:r>
            <w:r w:rsidR="00594D1F">
              <w:rPr>
                <w:lang w:val="en-US"/>
              </w:rPr>
              <w:t xml:space="preserve">in the ACT </w:t>
            </w:r>
            <w:r>
              <w:rPr>
                <w:lang w:val="en-US"/>
              </w:rPr>
              <w:t xml:space="preserve">bookends an extended </w:t>
            </w:r>
            <w:r w:rsidR="00DA57EF">
              <w:rPr>
                <w:lang w:val="en-US"/>
              </w:rPr>
              <w:t>harmful conversation</w:t>
            </w:r>
            <w:r>
              <w:rPr>
                <w:lang w:val="en-US"/>
              </w:rPr>
              <w:t xml:space="preserve"> about the value </w:t>
            </w:r>
            <w:r w:rsidR="00C17A5D">
              <w:rPr>
                <w:lang w:val="en-US"/>
              </w:rPr>
              <w:t xml:space="preserve">assigned to the lives of people with disability and underlying health conditions </w:t>
            </w:r>
            <w:r w:rsidR="00DA57EF">
              <w:rPr>
                <w:lang w:val="en-US"/>
              </w:rPr>
              <w:t xml:space="preserve">across three years of the COVID19 pandemic which has left a trail of negative </w:t>
            </w:r>
            <w:r w:rsidR="00146C5E">
              <w:rPr>
                <w:lang w:val="en-US"/>
              </w:rPr>
              <w:t xml:space="preserve">attitudes in the community and trauma for disabled people. </w:t>
            </w:r>
            <w:r w:rsidR="00DA57EF">
              <w:rPr>
                <w:lang w:val="en-US"/>
              </w:rPr>
              <w:t xml:space="preserve">  </w:t>
            </w:r>
          </w:p>
        </w:tc>
      </w:tr>
      <w:tr w:rsidR="008C722F" w14:paraId="13FE6D3A" w14:textId="77777777" w:rsidTr="00EE6066">
        <w:tc>
          <w:tcPr>
            <w:tcW w:w="2766" w:type="dxa"/>
            <w:shd w:val="clear" w:color="auto" w:fill="F3F3F3"/>
          </w:tcPr>
          <w:p w14:paraId="19F7FC62" w14:textId="4FC8CB62" w:rsidR="008C722F" w:rsidRDefault="008C722F" w:rsidP="00BB38A7">
            <w:pPr>
              <w:rPr>
                <w:b/>
                <w:bCs/>
                <w:lang w:val="en-US"/>
              </w:rPr>
            </w:pPr>
            <w:r w:rsidRPr="00411EE3">
              <w:rPr>
                <w:b/>
                <w:bCs/>
                <w:lang w:val="en-US"/>
              </w:rPr>
              <w:t>Dialogue on environment</w:t>
            </w:r>
            <w:r w:rsidR="008635CC">
              <w:rPr>
                <w:b/>
                <w:bCs/>
                <w:lang w:val="en-US"/>
              </w:rPr>
              <w:t>, climate change</w:t>
            </w:r>
            <w:r w:rsidRPr="00411EE3">
              <w:rPr>
                <w:b/>
                <w:bCs/>
                <w:lang w:val="en-US"/>
              </w:rPr>
              <w:t xml:space="preserve"> and disability </w:t>
            </w:r>
            <w:r w:rsidR="008635CC">
              <w:rPr>
                <w:b/>
                <w:bCs/>
                <w:lang w:val="en-US"/>
              </w:rPr>
              <w:t>rights</w:t>
            </w:r>
          </w:p>
          <w:p w14:paraId="00CEEB71" w14:textId="77777777" w:rsidR="00167BCE" w:rsidRDefault="00167BCE" w:rsidP="00BB38A7">
            <w:pPr>
              <w:rPr>
                <w:b/>
                <w:bCs/>
                <w:lang w:val="en-US"/>
              </w:rPr>
            </w:pPr>
          </w:p>
          <w:p w14:paraId="2A7E7A12" w14:textId="77777777" w:rsidR="00167BCE" w:rsidRDefault="00167BCE" w:rsidP="00BB38A7">
            <w:pPr>
              <w:rPr>
                <w:i/>
                <w:iCs/>
                <w:lang w:val="en-US"/>
              </w:rPr>
            </w:pPr>
            <w:r w:rsidRPr="00514507">
              <w:rPr>
                <w:i/>
                <w:iCs/>
                <w:lang w:val="en-US"/>
              </w:rPr>
              <w:t xml:space="preserve">Funding to deliver an improved response to climate change </w:t>
            </w:r>
            <w:r w:rsidR="00514507" w:rsidRPr="00514507">
              <w:rPr>
                <w:i/>
                <w:iCs/>
                <w:lang w:val="en-US"/>
              </w:rPr>
              <w:t>for people with disability</w:t>
            </w:r>
            <w:r w:rsidR="00685BEC">
              <w:rPr>
                <w:i/>
                <w:iCs/>
                <w:lang w:val="en-US"/>
              </w:rPr>
              <w:t xml:space="preserve"> including a disability rights based just transition </w:t>
            </w:r>
          </w:p>
          <w:p w14:paraId="7E59C9E7" w14:textId="77777777" w:rsidR="001951A4" w:rsidRDefault="001951A4" w:rsidP="00BB38A7">
            <w:pPr>
              <w:rPr>
                <w:i/>
                <w:iCs/>
                <w:lang w:val="en-US"/>
              </w:rPr>
            </w:pPr>
          </w:p>
          <w:p w14:paraId="55A3A4B1" w14:textId="77777777" w:rsidR="001951A4" w:rsidRDefault="001951A4" w:rsidP="001951A4">
            <w:pPr>
              <w:rPr>
                <w:i/>
                <w:iCs/>
                <w:lang w:val="en-US"/>
              </w:rPr>
            </w:pPr>
          </w:p>
          <w:p w14:paraId="01F20B39" w14:textId="33FD6B95" w:rsidR="001951A4" w:rsidRPr="0002005E" w:rsidRDefault="001951A4" w:rsidP="001951A4">
            <w:pPr>
              <w:rPr>
                <w:sz w:val="20"/>
                <w:szCs w:val="20"/>
                <w:lang w:val="en-US"/>
              </w:rPr>
            </w:pPr>
            <w:r w:rsidRPr="0002005E">
              <w:rPr>
                <w:sz w:val="20"/>
                <w:szCs w:val="20"/>
                <w:lang w:val="en-US"/>
              </w:rPr>
              <w:t>Supports delivery of outcomes under Wellbeing Indicator</w:t>
            </w:r>
            <w:r w:rsidR="007E15BA">
              <w:rPr>
                <w:sz w:val="20"/>
                <w:szCs w:val="20"/>
                <w:lang w:val="en-US"/>
              </w:rPr>
              <w:t xml:space="preserve"> </w:t>
            </w:r>
            <w:hyperlink r:id="rId69" w:history="1">
              <w:r w:rsidR="007E15BA" w:rsidRPr="002A2724">
                <w:rPr>
                  <w:rStyle w:val="Hyperlink"/>
                  <w:sz w:val="20"/>
                  <w:szCs w:val="20"/>
                  <w:lang w:val="en-US"/>
                </w:rPr>
                <w:t>Climate resilient environment and community</w:t>
              </w:r>
            </w:hyperlink>
            <w:r w:rsidR="007E15BA">
              <w:rPr>
                <w:sz w:val="20"/>
                <w:szCs w:val="20"/>
                <w:lang w:val="en-US"/>
              </w:rPr>
              <w:t xml:space="preserve"> and </w:t>
            </w:r>
            <w:hyperlink r:id="rId70" w:history="1">
              <w:r w:rsidR="002A2724" w:rsidRPr="002A2724">
                <w:rPr>
                  <w:rStyle w:val="Hyperlink"/>
                  <w:sz w:val="20"/>
                  <w:szCs w:val="20"/>
                  <w:lang w:val="en-US"/>
                </w:rPr>
                <w:t>Healthy and resilient natural environment</w:t>
              </w:r>
            </w:hyperlink>
          </w:p>
          <w:p w14:paraId="3DA532EB" w14:textId="77777777" w:rsidR="001951A4" w:rsidRPr="0002005E" w:rsidRDefault="001951A4" w:rsidP="001951A4">
            <w:pPr>
              <w:rPr>
                <w:i/>
                <w:iCs/>
                <w:sz w:val="20"/>
                <w:szCs w:val="20"/>
                <w:lang w:val="en-US"/>
              </w:rPr>
            </w:pPr>
          </w:p>
          <w:p w14:paraId="5A0C1F76" w14:textId="406A26CD" w:rsidR="001951A4" w:rsidRPr="00514507" w:rsidRDefault="001951A4" w:rsidP="001951A4">
            <w:pPr>
              <w:rPr>
                <w:i/>
                <w:iCs/>
                <w:lang w:val="en-US"/>
              </w:rPr>
            </w:pPr>
            <w:r w:rsidRPr="0002005E">
              <w:rPr>
                <w:sz w:val="20"/>
                <w:szCs w:val="20"/>
                <w:lang w:val="en-US"/>
              </w:rPr>
              <w:t xml:space="preserve">Enables compliance with CRPD </w:t>
            </w:r>
            <w:hyperlink r:id="rId71" w:history="1">
              <w:r w:rsidRPr="004F70A5">
                <w:rPr>
                  <w:rStyle w:val="Hyperlink"/>
                  <w:sz w:val="20"/>
                  <w:szCs w:val="20"/>
                  <w:lang w:val="en-US"/>
                </w:rPr>
                <w:t xml:space="preserve">Article </w:t>
              </w:r>
              <w:r w:rsidR="00F53803" w:rsidRPr="004F70A5">
                <w:rPr>
                  <w:rStyle w:val="Hyperlink"/>
                  <w:sz w:val="20"/>
                  <w:szCs w:val="20"/>
                  <w:lang w:val="en-US"/>
                </w:rPr>
                <w:t>5 – Equality and Non-Discrimination</w:t>
              </w:r>
            </w:hyperlink>
            <w:r w:rsidR="003E6326">
              <w:rPr>
                <w:sz w:val="20"/>
                <w:szCs w:val="20"/>
                <w:lang w:val="en-US"/>
              </w:rPr>
              <w:t xml:space="preserve"> and </w:t>
            </w:r>
            <w:hyperlink r:id="rId72" w:history="1">
              <w:r w:rsidR="003E6326" w:rsidRPr="00E54C2A">
                <w:rPr>
                  <w:rStyle w:val="Hyperlink"/>
                  <w:sz w:val="20"/>
                  <w:szCs w:val="20"/>
                  <w:lang w:val="en-US"/>
                </w:rPr>
                <w:t>Article 11 – Situations of Risk and Humanitarian Emergencies</w:t>
              </w:r>
            </w:hyperlink>
            <w:r w:rsidR="003E6326">
              <w:rPr>
                <w:sz w:val="20"/>
                <w:szCs w:val="20"/>
                <w:lang w:val="en-US"/>
              </w:rPr>
              <w:t xml:space="preserve"> </w:t>
            </w:r>
          </w:p>
        </w:tc>
        <w:tc>
          <w:tcPr>
            <w:tcW w:w="2785" w:type="dxa"/>
            <w:shd w:val="clear" w:color="auto" w:fill="F3F3F3"/>
          </w:tcPr>
          <w:p w14:paraId="1E1FD29B" w14:textId="3D8F94B8" w:rsidR="008C722F" w:rsidRDefault="008C722F" w:rsidP="00BB38A7">
            <w:pPr>
              <w:rPr>
                <w:lang w:val="en-US"/>
              </w:rPr>
            </w:pPr>
            <w:r>
              <w:rPr>
                <w:lang w:val="en-US"/>
              </w:rPr>
              <w:lastRenderedPageBreak/>
              <w:t xml:space="preserve">A dialogue roundtable </w:t>
            </w:r>
            <w:r w:rsidR="00F569EE">
              <w:rPr>
                <w:lang w:val="en-US"/>
              </w:rPr>
              <w:t xml:space="preserve">and policy piece </w:t>
            </w:r>
            <w:r w:rsidR="00162769">
              <w:rPr>
                <w:lang w:val="en-US"/>
              </w:rPr>
              <w:t>linking disability rights, just transition and climate tran</w:t>
            </w:r>
            <w:r w:rsidR="0019215F">
              <w:rPr>
                <w:lang w:val="en-US"/>
              </w:rPr>
              <w:t>si</w:t>
            </w:r>
            <w:r w:rsidR="00162769">
              <w:rPr>
                <w:lang w:val="en-US"/>
              </w:rPr>
              <w:t>tion</w:t>
            </w:r>
          </w:p>
        </w:tc>
        <w:tc>
          <w:tcPr>
            <w:tcW w:w="4225" w:type="dxa"/>
            <w:shd w:val="clear" w:color="auto" w:fill="F3F3F3"/>
          </w:tcPr>
          <w:p w14:paraId="45DF3B88" w14:textId="5D230A00" w:rsidR="008C722F" w:rsidRDefault="00162769" w:rsidP="00BB38A7">
            <w:pPr>
              <w:rPr>
                <w:lang w:val="en-US"/>
              </w:rPr>
            </w:pPr>
            <w:r>
              <w:rPr>
                <w:lang w:val="en-US"/>
              </w:rPr>
              <w:t xml:space="preserve">A dialogue to </w:t>
            </w:r>
            <w:r w:rsidR="00B26364">
              <w:rPr>
                <w:lang w:val="en-US"/>
              </w:rPr>
              <w:t xml:space="preserve">bring together disability rights and climate </w:t>
            </w:r>
            <w:r w:rsidR="00BB1A9C">
              <w:rPr>
                <w:lang w:val="en-US"/>
              </w:rPr>
              <w:t xml:space="preserve">thought leaders to </w:t>
            </w:r>
            <w:r>
              <w:rPr>
                <w:lang w:val="en-US"/>
              </w:rPr>
              <w:t xml:space="preserve">develop a series of </w:t>
            </w:r>
            <w:r w:rsidR="00944AD0">
              <w:rPr>
                <w:lang w:val="en-US"/>
              </w:rPr>
              <w:t>shared</w:t>
            </w:r>
            <w:r w:rsidR="00AA564E">
              <w:rPr>
                <w:lang w:val="en-US"/>
              </w:rPr>
              <w:t xml:space="preserve"> </w:t>
            </w:r>
            <w:r w:rsidR="00A53F1D">
              <w:rPr>
                <w:lang w:val="en-US"/>
              </w:rPr>
              <w:t>principles for a just transition response to climate change</w:t>
            </w:r>
            <w:r w:rsidR="00B26364">
              <w:rPr>
                <w:lang w:val="en-US"/>
              </w:rPr>
              <w:t xml:space="preserve"> and waste reduction</w:t>
            </w:r>
            <w:r w:rsidR="00A53F1D">
              <w:rPr>
                <w:lang w:val="en-US"/>
              </w:rPr>
              <w:t xml:space="preserve"> for people with disability </w:t>
            </w:r>
            <w:r w:rsidR="00F23DAA">
              <w:rPr>
                <w:lang w:val="en-US"/>
              </w:rPr>
              <w:t>plus an intersectional statement on the disability rights imper</w:t>
            </w:r>
            <w:r w:rsidR="00B26364">
              <w:rPr>
                <w:lang w:val="en-US"/>
              </w:rPr>
              <w:t xml:space="preserve">atives to prevent and mitigate climate change </w:t>
            </w:r>
            <w:r w:rsidR="00F23DAA">
              <w:rPr>
                <w:lang w:val="en-US"/>
              </w:rPr>
              <w:t xml:space="preserve"> </w:t>
            </w:r>
          </w:p>
        </w:tc>
        <w:tc>
          <w:tcPr>
            <w:tcW w:w="4111" w:type="dxa"/>
            <w:shd w:val="clear" w:color="auto" w:fill="F3F3F3"/>
          </w:tcPr>
          <w:p w14:paraId="7BB55C06" w14:textId="4760EF69" w:rsidR="007D1066" w:rsidRDefault="007D1066" w:rsidP="00BB38A7">
            <w:pPr>
              <w:rPr>
                <w:lang w:val="en-US"/>
              </w:rPr>
            </w:pPr>
            <w:r>
              <w:rPr>
                <w:lang w:val="en-US"/>
              </w:rPr>
              <w:t>The debate on plastic straws and on disposable products have highlighted the need for an improved dialogue and understanding between the disability rights communities and the environmental movement to identify and occupy shared ground.</w:t>
            </w:r>
          </w:p>
          <w:p w14:paraId="28165CF0" w14:textId="77777777" w:rsidR="007D1066" w:rsidRDefault="007D1066" w:rsidP="00BB38A7">
            <w:pPr>
              <w:rPr>
                <w:lang w:val="en-US"/>
              </w:rPr>
            </w:pPr>
          </w:p>
          <w:p w14:paraId="1F3819BE" w14:textId="77777777" w:rsidR="008C722F" w:rsidRDefault="0007008A" w:rsidP="00BB38A7">
            <w:pPr>
              <w:rPr>
                <w:lang w:val="en-US"/>
              </w:rPr>
            </w:pPr>
            <w:r>
              <w:rPr>
                <w:lang w:val="en-US"/>
              </w:rPr>
              <w:t xml:space="preserve">A just transition </w:t>
            </w:r>
            <w:r w:rsidR="00520E20">
              <w:rPr>
                <w:lang w:val="en-US"/>
              </w:rPr>
              <w:t>means that those with the most responsibility for waste and emissions sh</w:t>
            </w:r>
            <w:r w:rsidR="004D3BD5">
              <w:rPr>
                <w:lang w:val="en-US"/>
              </w:rPr>
              <w:t xml:space="preserve">ould shoulder a proportionate level of reduction effort and costs, inconvenience and pressure of waste or emission reduction measures should not </w:t>
            </w:r>
            <w:r w:rsidR="004D3BD5">
              <w:rPr>
                <w:lang w:val="en-US"/>
              </w:rPr>
              <w:lastRenderedPageBreak/>
              <w:t xml:space="preserve">fall disproportionately on those with the least capacity to meet them. </w:t>
            </w:r>
            <w:r w:rsidR="009B6F47">
              <w:rPr>
                <w:lang w:val="en-US"/>
              </w:rPr>
              <w:t>A healthy environment is</w:t>
            </w:r>
            <w:r w:rsidR="00593879">
              <w:rPr>
                <w:lang w:val="en-US"/>
              </w:rPr>
              <w:t xml:space="preserve"> a priority for our community, </w:t>
            </w:r>
            <w:r w:rsidR="005E5253">
              <w:rPr>
                <w:lang w:val="en-US"/>
              </w:rPr>
              <w:t xml:space="preserve">and especially significant for people with disabilities </w:t>
            </w:r>
            <w:r w:rsidR="00A54B24">
              <w:rPr>
                <w:lang w:val="en-US"/>
              </w:rPr>
              <w:t xml:space="preserve">who are generally more vulnerable to the impacts of environmental degradation and climate change. </w:t>
            </w:r>
          </w:p>
          <w:p w14:paraId="2C6802CA" w14:textId="77777777" w:rsidR="002142F6" w:rsidRDefault="002142F6" w:rsidP="00BB38A7">
            <w:pPr>
              <w:rPr>
                <w:lang w:val="en-US"/>
              </w:rPr>
            </w:pPr>
          </w:p>
          <w:p w14:paraId="1FFBA53A" w14:textId="2604ED10" w:rsidR="002142F6" w:rsidRDefault="002142F6" w:rsidP="00BB38A7">
            <w:pPr>
              <w:rPr>
                <w:lang w:val="en-US"/>
              </w:rPr>
            </w:pPr>
            <w:r>
              <w:rPr>
                <w:lang w:val="en-US"/>
              </w:rPr>
              <w:t xml:space="preserve">An outcome could be a set of disability rights aligned principles to support a just transition to net zero as well as a deeper understanding of the impacts of climate change on people with disability.  </w:t>
            </w:r>
          </w:p>
        </w:tc>
      </w:tr>
      <w:tr w:rsidR="008A0531" w14:paraId="21005240" w14:textId="77777777" w:rsidTr="5DFCCB07">
        <w:tc>
          <w:tcPr>
            <w:tcW w:w="2766" w:type="dxa"/>
          </w:tcPr>
          <w:p w14:paraId="721AE905" w14:textId="362D446A" w:rsidR="008A0531" w:rsidRDefault="008377D9" w:rsidP="00BB38A7">
            <w:pPr>
              <w:rPr>
                <w:b/>
                <w:bCs/>
                <w:lang w:val="en-US"/>
              </w:rPr>
            </w:pPr>
            <w:r>
              <w:rPr>
                <w:b/>
                <w:bCs/>
                <w:lang w:val="en-US"/>
              </w:rPr>
              <w:lastRenderedPageBreak/>
              <w:t>Disability community control of disability events</w:t>
            </w:r>
          </w:p>
          <w:p w14:paraId="4398BAAC" w14:textId="77777777" w:rsidR="00E67074" w:rsidRDefault="00E67074" w:rsidP="00BB38A7">
            <w:pPr>
              <w:rPr>
                <w:b/>
                <w:bCs/>
                <w:lang w:val="en-US"/>
              </w:rPr>
            </w:pPr>
          </w:p>
          <w:p w14:paraId="2032F503" w14:textId="77777777" w:rsidR="00E67074" w:rsidRDefault="00E67074" w:rsidP="00BB38A7">
            <w:pPr>
              <w:rPr>
                <w:i/>
                <w:iCs/>
                <w:lang w:val="en-US"/>
              </w:rPr>
            </w:pPr>
            <w:r w:rsidRPr="00E67074">
              <w:rPr>
                <w:i/>
                <w:iCs/>
                <w:lang w:val="en-US"/>
              </w:rPr>
              <w:t xml:space="preserve">Funding to improve, modernise and embed community control in ACT celebrations of the UN International Day of People with Disability </w:t>
            </w:r>
          </w:p>
          <w:p w14:paraId="1747F6A2" w14:textId="77777777" w:rsidR="001951A4" w:rsidRDefault="001951A4" w:rsidP="00BB38A7">
            <w:pPr>
              <w:rPr>
                <w:i/>
                <w:iCs/>
                <w:lang w:val="en-US"/>
              </w:rPr>
            </w:pPr>
          </w:p>
          <w:p w14:paraId="0142CB70" w14:textId="77777777" w:rsidR="001951A4" w:rsidRDefault="001951A4" w:rsidP="001951A4">
            <w:pPr>
              <w:rPr>
                <w:i/>
                <w:iCs/>
                <w:lang w:val="en-US"/>
              </w:rPr>
            </w:pPr>
          </w:p>
          <w:p w14:paraId="7A833192" w14:textId="1C286844" w:rsidR="001951A4" w:rsidRPr="0002005E" w:rsidRDefault="001951A4" w:rsidP="001951A4">
            <w:pPr>
              <w:rPr>
                <w:sz w:val="20"/>
                <w:szCs w:val="20"/>
                <w:lang w:val="en-US"/>
              </w:rPr>
            </w:pPr>
            <w:r w:rsidRPr="0002005E">
              <w:rPr>
                <w:sz w:val="20"/>
                <w:szCs w:val="20"/>
                <w:lang w:val="en-US"/>
              </w:rPr>
              <w:t xml:space="preserve">Supports delivery of outcomes under Wellbeing Indicator </w:t>
            </w:r>
            <w:hyperlink r:id="rId73" w:history="1">
              <w:r w:rsidR="00385688" w:rsidRPr="0013356D">
                <w:rPr>
                  <w:rStyle w:val="Hyperlink"/>
                  <w:sz w:val="20"/>
                  <w:szCs w:val="20"/>
                  <w:lang w:val="en-US"/>
                </w:rPr>
                <w:t>Sense of belonging and inclusion</w:t>
              </w:r>
            </w:hyperlink>
            <w:r w:rsidR="00385688">
              <w:rPr>
                <w:sz w:val="20"/>
                <w:szCs w:val="20"/>
                <w:lang w:val="en-US"/>
              </w:rPr>
              <w:t xml:space="preserve"> and</w:t>
            </w:r>
            <w:r w:rsidR="00937BA3">
              <w:rPr>
                <w:sz w:val="20"/>
                <w:szCs w:val="20"/>
                <w:lang w:val="en-US"/>
              </w:rPr>
              <w:t xml:space="preserve"> </w:t>
            </w:r>
            <w:hyperlink r:id="rId74" w:history="1">
              <w:r w:rsidR="00937BA3" w:rsidRPr="00AC40B8">
                <w:rPr>
                  <w:rStyle w:val="Hyperlink"/>
                  <w:sz w:val="20"/>
                  <w:szCs w:val="20"/>
                  <w:lang w:val="en-US"/>
                </w:rPr>
                <w:t xml:space="preserve">Participation in </w:t>
              </w:r>
              <w:r w:rsidR="00AC40B8" w:rsidRPr="00AC40B8">
                <w:rPr>
                  <w:rStyle w:val="Hyperlink"/>
                  <w:sz w:val="20"/>
                  <w:szCs w:val="20"/>
                  <w:lang w:val="en-US"/>
                </w:rPr>
                <w:t>community events and activities</w:t>
              </w:r>
            </w:hyperlink>
            <w:r w:rsidR="00937BA3" w:rsidRPr="0002005E">
              <w:rPr>
                <w:sz w:val="20"/>
                <w:szCs w:val="20"/>
                <w:lang w:val="en-US"/>
              </w:rPr>
              <w:t xml:space="preserve"> </w:t>
            </w:r>
          </w:p>
          <w:p w14:paraId="16119C7D" w14:textId="77777777" w:rsidR="001951A4" w:rsidRPr="0002005E" w:rsidRDefault="001951A4" w:rsidP="001951A4">
            <w:pPr>
              <w:rPr>
                <w:i/>
                <w:iCs/>
                <w:sz w:val="20"/>
                <w:szCs w:val="20"/>
                <w:lang w:val="en-US"/>
              </w:rPr>
            </w:pPr>
          </w:p>
          <w:p w14:paraId="3CD59827" w14:textId="19D5822D" w:rsidR="001951A4" w:rsidRPr="00E67074" w:rsidRDefault="001951A4" w:rsidP="001951A4">
            <w:pPr>
              <w:rPr>
                <w:i/>
                <w:iCs/>
                <w:lang w:val="en-US"/>
              </w:rPr>
            </w:pPr>
            <w:r w:rsidRPr="0002005E">
              <w:rPr>
                <w:sz w:val="20"/>
                <w:szCs w:val="20"/>
                <w:lang w:val="en-US"/>
              </w:rPr>
              <w:lastRenderedPageBreak/>
              <w:t xml:space="preserve">Enables compliance with CRPD </w:t>
            </w:r>
            <w:hyperlink r:id="rId75" w:history="1">
              <w:r w:rsidR="002007F5" w:rsidRPr="002007F5">
                <w:rPr>
                  <w:rStyle w:val="Hyperlink"/>
                  <w:sz w:val="20"/>
                  <w:szCs w:val="20"/>
                  <w:lang w:val="en-US"/>
                </w:rPr>
                <w:t>Article 8 – Awareness-raising</w:t>
              </w:r>
            </w:hyperlink>
          </w:p>
        </w:tc>
        <w:tc>
          <w:tcPr>
            <w:tcW w:w="2785" w:type="dxa"/>
          </w:tcPr>
          <w:p w14:paraId="693AD9F8" w14:textId="4355F2D8" w:rsidR="008A0531" w:rsidRDefault="008A0531" w:rsidP="00BB38A7">
            <w:pPr>
              <w:rPr>
                <w:lang w:val="en-US"/>
              </w:rPr>
            </w:pPr>
            <w:r>
              <w:rPr>
                <w:lang w:val="en-US"/>
              </w:rPr>
              <w:lastRenderedPageBreak/>
              <w:t>International Day of People with Disability</w:t>
            </w:r>
            <w:r w:rsidR="00BB1A9C">
              <w:rPr>
                <w:lang w:val="en-US"/>
              </w:rPr>
              <w:t xml:space="preserve"> – transition to community control</w:t>
            </w:r>
          </w:p>
        </w:tc>
        <w:tc>
          <w:tcPr>
            <w:tcW w:w="4225" w:type="dxa"/>
          </w:tcPr>
          <w:p w14:paraId="7DD62A67" w14:textId="77777777" w:rsidR="008A0531" w:rsidRDefault="008A0531" w:rsidP="00BB38A7">
            <w:pPr>
              <w:rPr>
                <w:lang w:val="en-US"/>
              </w:rPr>
            </w:pPr>
            <w:r>
              <w:rPr>
                <w:lang w:val="en-US"/>
              </w:rPr>
              <w:t xml:space="preserve">Funding to transition the International Day of People with Disability to community control including </w:t>
            </w:r>
            <w:r w:rsidR="00275100">
              <w:rPr>
                <w:lang w:val="en-US"/>
              </w:rPr>
              <w:t>a small secretariat</w:t>
            </w:r>
          </w:p>
          <w:p w14:paraId="6E60C3D1" w14:textId="77777777" w:rsidR="002142F6" w:rsidRDefault="002142F6" w:rsidP="00BB38A7">
            <w:pPr>
              <w:rPr>
                <w:lang w:val="en-US"/>
              </w:rPr>
            </w:pPr>
          </w:p>
          <w:p w14:paraId="11C8FC14" w14:textId="151012E3" w:rsidR="002142F6" w:rsidRDefault="008377D9" w:rsidP="00BB38A7">
            <w:pPr>
              <w:rPr>
                <w:lang w:val="en-US"/>
              </w:rPr>
            </w:pPr>
            <w:r>
              <w:rPr>
                <w:lang w:val="en-US"/>
              </w:rPr>
              <w:t xml:space="preserve">Refresh of I-Day events to regain community support, modernize and improve celebrations in the ACT.  Including a more diverse focus on disability arts, advocacy work </w:t>
            </w:r>
            <w:r w:rsidR="002142F6">
              <w:rPr>
                <w:lang w:val="en-US"/>
              </w:rPr>
              <w:t>The disability community</w:t>
            </w:r>
            <w:r w:rsidR="00E8085A">
              <w:rPr>
                <w:lang w:val="en-US"/>
              </w:rPr>
              <w:t xml:space="preserve"> should</w:t>
            </w:r>
            <w:r w:rsidR="002142F6">
              <w:rPr>
                <w:lang w:val="en-US"/>
              </w:rPr>
              <w:t xml:space="preserve"> </w:t>
            </w:r>
            <w:r w:rsidR="00D8246E">
              <w:rPr>
                <w:lang w:val="en-US"/>
              </w:rPr>
              <w:t>control</w:t>
            </w:r>
            <w:r w:rsidR="002142F6">
              <w:rPr>
                <w:lang w:val="en-US"/>
              </w:rPr>
              <w:t xml:space="preserve"> the form, messaging and nature</w:t>
            </w:r>
            <w:r w:rsidR="003107A4">
              <w:rPr>
                <w:lang w:val="en-US"/>
              </w:rPr>
              <w:t xml:space="preserve"> of </w:t>
            </w:r>
            <w:r w:rsidR="00E8085A">
              <w:rPr>
                <w:lang w:val="en-US"/>
              </w:rPr>
              <w:t xml:space="preserve">events to mark our own International Day.  </w:t>
            </w:r>
            <w:r w:rsidR="003107A4">
              <w:rPr>
                <w:lang w:val="en-US"/>
              </w:rPr>
              <w:t xml:space="preserve">  </w:t>
            </w:r>
          </w:p>
        </w:tc>
        <w:tc>
          <w:tcPr>
            <w:tcW w:w="4111" w:type="dxa"/>
          </w:tcPr>
          <w:p w14:paraId="667B3DD7" w14:textId="3CF00648" w:rsidR="008A0531" w:rsidRDefault="00DC0C3B" w:rsidP="00BB38A7">
            <w:pPr>
              <w:rPr>
                <w:lang w:val="en-US"/>
              </w:rPr>
            </w:pPr>
            <w:r>
              <w:rPr>
                <w:lang w:val="en-US"/>
              </w:rPr>
              <w:t xml:space="preserve">ACT DPO’s and DRO’s as well as </w:t>
            </w:r>
            <w:r w:rsidR="00E640FB">
              <w:rPr>
                <w:lang w:val="en-US"/>
              </w:rPr>
              <w:t>the Disability Reference Group, Carers ACT and ACTCOSS have all indicated support for a different approach to IDAY in the ACT</w:t>
            </w:r>
            <w:r w:rsidR="003A5D2E">
              <w:rPr>
                <w:lang w:val="en-US"/>
              </w:rPr>
              <w:t xml:space="preserve"> that reflects contemporary approaches to disability rights</w:t>
            </w:r>
            <w:r w:rsidR="005D7DB5">
              <w:rPr>
                <w:lang w:val="en-US"/>
              </w:rPr>
              <w:t>, disability pride</w:t>
            </w:r>
            <w:r w:rsidR="003A5D2E">
              <w:rPr>
                <w:lang w:val="en-US"/>
              </w:rPr>
              <w:t xml:space="preserve"> and community control</w:t>
            </w:r>
            <w:r w:rsidR="00E640FB">
              <w:rPr>
                <w:lang w:val="en-US"/>
              </w:rPr>
              <w:t xml:space="preserve">.  </w:t>
            </w:r>
          </w:p>
        </w:tc>
      </w:tr>
    </w:tbl>
    <w:p w14:paraId="68B6305A" w14:textId="77777777" w:rsidR="00BB38A7" w:rsidRPr="00BB38A7" w:rsidRDefault="00BB38A7">
      <w:pPr>
        <w:rPr>
          <w:lang w:val="en-US"/>
        </w:rPr>
      </w:pPr>
    </w:p>
    <w:sectPr w:rsidR="00BB38A7" w:rsidRPr="00BB38A7" w:rsidSect="00BB38A7">
      <w:headerReference w:type="default" r:id="rId76"/>
      <w:footerReference w:type="default" r:id="rId7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4902" w14:textId="77777777" w:rsidR="00A42BB9" w:rsidRDefault="00A42BB9" w:rsidP="00F306CE">
      <w:pPr>
        <w:spacing w:after="0" w:line="240" w:lineRule="auto"/>
      </w:pPr>
      <w:r>
        <w:separator/>
      </w:r>
    </w:p>
  </w:endnote>
  <w:endnote w:type="continuationSeparator" w:id="0">
    <w:p w14:paraId="2941F5D7" w14:textId="77777777" w:rsidR="00A42BB9" w:rsidRDefault="00A42BB9" w:rsidP="00F306CE">
      <w:pPr>
        <w:spacing w:after="0" w:line="240" w:lineRule="auto"/>
      </w:pPr>
      <w:r>
        <w:continuationSeparator/>
      </w:r>
    </w:p>
  </w:endnote>
  <w:endnote w:type="continuationNotice" w:id="1">
    <w:p w14:paraId="0BF768A4" w14:textId="77777777" w:rsidR="00A42BB9" w:rsidRDefault="00A42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373966"/>
      <w:docPartObj>
        <w:docPartGallery w:val="Page Numbers (Bottom of Page)"/>
        <w:docPartUnique/>
      </w:docPartObj>
    </w:sdtPr>
    <w:sdtEndPr>
      <w:rPr>
        <w:noProof/>
      </w:rPr>
    </w:sdtEndPr>
    <w:sdtContent>
      <w:p w14:paraId="748C003F" w14:textId="2445788D" w:rsidR="00725766" w:rsidRDefault="007257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27021" w14:textId="77777777" w:rsidR="00725766" w:rsidRDefault="0072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B233" w14:textId="77777777" w:rsidR="00A42BB9" w:rsidRDefault="00A42BB9" w:rsidP="00F306CE">
      <w:pPr>
        <w:spacing w:after="0" w:line="240" w:lineRule="auto"/>
      </w:pPr>
      <w:r>
        <w:separator/>
      </w:r>
    </w:p>
  </w:footnote>
  <w:footnote w:type="continuationSeparator" w:id="0">
    <w:p w14:paraId="0A02DF9F" w14:textId="77777777" w:rsidR="00A42BB9" w:rsidRDefault="00A42BB9" w:rsidP="00F306CE">
      <w:pPr>
        <w:spacing w:after="0" w:line="240" w:lineRule="auto"/>
      </w:pPr>
      <w:r>
        <w:continuationSeparator/>
      </w:r>
    </w:p>
  </w:footnote>
  <w:footnote w:type="continuationNotice" w:id="1">
    <w:p w14:paraId="3E85A0A0" w14:textId="77777777" w:rsidR="00A42BB9" w:rsidRDefault="00A42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A065" w14:textId="4F976EBB" w:rsidR="00E834B0" w:rsidRPr="00E834B0" w:rsidRDefault="00E834B0" w:rsidP="00E834B0">
    <w:pPr>
      <w:pStyle w:val="Header"/>
      <w:jc w:val="right"/>
      <w:rPr>
        <w:u w:val="single"/>
        <w:lang w:val="en-US"/>
      </w:rPr>
    </w:pPr>
    <w:r w:rsidRPr="00E834B0">
      <w:rPr>
        <w:u w:val="single"/>
        <w:lang w:val="en-US"/>
      </w:rPr>
      <w:t xml:space="preserve">Attachment </w:t>
    </w:r>
    <w:r w:rsidR="00D237D1">
      <w:rPr>
        <w:u w:val="single"/>
        <w:lang w:val="en-US"/>
      </w:rPr>
      <w:t>B</w:t>
    </w:r>
  </w:p>
</w:hdr>
</file>

<file path=word/intelligence2.xml><?xml version="1.0" encoding="utf-8"?>
<int2:intelligence xmlns:int2="http://schemas.microsoft.com/office/intelligence/2020/intelligence" xmlns:oel="http://schemas.microsoft.com/office/2019/extlst">
  <int2:observations>
    <int2:bookmark int2:bookmarkName="_Int_XZUU2LIT" int2:invalidationBookmarkName="" int2:hashCode="4ij33Kd7gke03I" int2:id="tQ9ZWPG2">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A7"/>
    <w:rsid w:val="000147A2"/>
    <w:rsid w:val="00015935"/>
    <w:rsid w:val="00016EBC"/>
    <w:rsid w:val="0002005E"/>
    <w:rsid w:val="00023C89"/>
    <w:rsid w:val="0004005C"/>
    <w:rsid w:val="00043378"/>
    <w:rsid w:val="000505E8"/>
    <w:rsid w:val="00052AD4"/>
    <w:rsid w:val="000538FC"/>
    <w:rsid w:val="00063AF2"/>
    <w:rsid w:val="00067E36"/>
    <w:rsid w:val="0007008A"/>
    <w:rsid w:val="00083635"/>
    <w:rsid w:val="00084CFF"/>
    <w:rsid w:val="00093491"/>
    <w:rsid w:val="000A24A1"/>
    <w:rsid w:val="000A3E47"/>
    <w:rsid w:val="000A7616"/>
    <w:rsid w:val="000C004B"/>
    <w:rsid w:val="000C010B"/>
    <w:rsid w:val="000C0D29"/>
    <w:rsid w:val="000C2493"/>
    <w:rsid w:val="000C5A45"/>
    <w:rsid w:val="000C5E09"/>
    <w:rsid w:val="000D6D97"/>
    <w:rsid w:val="000E1882"/>
    <w:rsid w:val="000E5335"/>
    <w:rsid w:val="000E600A"/>
    <w:rsid w:val="000E6564"/>
    <w:rsid w:val="000F0F84"/>
    <w:rsid w:val="000F1591"/>
    <w:rsid w:val="001028FF"/>
    <w:rsid w:val="001029C5"/>
    <w:rsid w:val="00103470"/>
    <w:rsid w:val="00103EFF"/>
    <w:rsid w:val="001072A2"/>
    <w:rsid w:val="00115793"/>
    <w:rsid w:val="00122F2F"/>
    <w:rsid w:val="001278A5"/>
    <w:rsid w:val="00133354"/>
    <w:rsid w:val="0013356D"/>
    <w:rsid w:val="00135FB4"/>
    <w:rsid w:val="00142297"/>
    <w:rsid w:val="00146C5E"/>
    <w:rsid w:val="0015503D"/>
    <w:rsid w:val="00162769"/>
    <w:rsid w:val="00167BCE"/>
    <w:rsid w:val="00172E22"/>
    <w:rsid w:val="00173F24"/>
    <w:rsid w:val="0017521E"/>
    <w:rsid w:val="00181E2B"/>
    <w:rsid w:val="00185534"/>
    <w:rsid w:val="001871E8"/>
    <w:rsid w:val="0019215F"/>
    <w:rsid w:val="001951A4"/>
    <w:rsid w:val="001A681A"/>
    <w:rsid w:val="001A71FC"/>
    <w:rsid w:val="001B674E"/>
    <w:rsid w:val="001B7FD3"/>
    <w:rsid w:val="001C1271"/>
    <w:rsid w:val="001C1F8D"/>
    <w:rsid w:val="001C557C"/>
    <w:rsid w:val="001E0883"/>
    <w:rsid w:val="001E629D"/>
    <w:rsid w:val="001F3E91"/>
    <w:rsid w:val="001F7B4F"/>
    <w:rsid w:val="002007F5"/>
    <w:rsid w:val="00200F6E"/>
    <w:rsid w:val="00204B70"/>
    <w:rsid w:val="00212F2C"/>
    <w:rsid w:val="002142F6"/>
    <w:rsid w:val="00216703"/>
    <w:rsid w:val="0022044B"/>
    <w:rsid w:val="0022084F"/>
    <w:rsid w:val="00222AA5"/>
    <w:rsid w:val="00232DA3"/>
    <w:rsid w:val="0026453F"/>
    <w:rsid w:val="00265F55"/>
    <w:rsid w:val="00275100"/>
    <w:rsid w:val="00286079"/>
    <w:rsid w:val="00291D29"/>
    <w:rsid w:val="0029535D"/>
    <w:rsid w:val="002A1951"/>
    <w:rsid w:val="002A2724"/>
    <w:rsid w:val="002A497F"/>
    <w:rsid w:val="002A71F1"/>
    <w:rsid w:val="002C0C66"/>
    <w:rsid w:val="002C3D07"/>
    <w:rsid w:val="002C4C4E"/>
    <w:rsid w:val="002D0F65"/>
    <w:rsid w:val="002D2D6A"/>
    <w:rsid w:val="002E693F"/>
    <w:rsid w:val="002F3A31"/>
    <w:rsid w:val="002F3A90"/>
    <w:rsid w:val="002F4AE6"/>
    <w:rsid w:val="00301446"/>
    <w:rsid w:val="00304EAB"/>
    <w:rsid w:val="00306B92"/>
    <w:rsid w:val="003107A4"/>
    <w:rsid w:val="00320E6C"/>
    <w:rsid w:val="00321872"/>
    <w:rsid w:val="00331E00"/>
    <w:rsid w:val="00334C63"/>
    <w:rsid w:val="0034069E"/>
    <w:rsid w:val="0036161F"/>
    <w:rsid w:val="003618A3"/>
    <w:rsid w:val="00362753"/>
    <w:rsid w:val="003628CF"/>
    <w:rsid w:val="00362AFA"/>
    <w:rsid w:val="00374D94"/>
    <w:rsid w:val="00376E4A"/>
    <w:rsid w:val="00380330"/>
    <w:rsid w:val="00385688"/>
    <w:rsid w:val="003A5D2E"/>
    <w:rsid w:val="003A743D"/>
    <w:rsid w:val="003A7C6E"/>
    <w:rsid w:val="003C0B9A"/>
    <w:rsid w:val="003C38B8"/>
    <w:rsid w:val="003C51F6"/>
    <w:rsid w:val="003E1C4E"/>
    <w:rsid w:val="003E6326"/>
    <w:rsid w:val="0040521F"/>
    <w:rsid w:val="00407E66"/>
    <w:rsid w:val="00411EE3"/>
    <w:rsid w:val="00414B0B"/>
    <w:rsid w:val="004161A7"/>
    <w:rsid w:val="0043162F"/>
    <w:rsid w:val="00431BF2"/>
    <w:rsid w:val="0043341C"/>
    <w:rsid w:val="00442D93"/>
    <w:rsid w:val="004441A9"/>
    <w:rsid w:val="00447E0F"/>
    <w:rsid w:val="00452873"/>
    <w:rsid w:val="00454F1C"/>
    <w:rsid w:val="004563E7"/>
    <w:rsid w:val="00476DDB"/>
    <w:rsid w:val="004802DA"/>
    <w:rsid w:val="004824D8"/>
    <w:rsid w:val="00490084"/>
    <w:rsid w:val="004918C9"/>
    <w:rsid w:val="004951FD"/>
    <w:rsid w:val="00496357"/>
    <w:rsid w:val="004970AD"/>
    <w:rsid w:val="00497160"/>
    <w:rsid w:val="004B1476"/>
    <w:rsid w:val="004B5336"/>
    <w:rsid w:val="004B61CA"/>
    <w:rsid w:val="004D35AB"/>
    <w:rsid w:val="004D3BD5"/>
    <w:rsid w:val="004D7116"/>
    <w:rsid w:val="004D7B95"/>
    <w:rsid w:val="004E22BD"/>
    <w:rsid w:val="004E3FAC"/>
    <w:rsid w:val="004E45B3"/>
    <w:rsid w:val="004F0EC9"/>
    <w:rsid w:val="004F4070"/>
    <w:rsid w:val="004F70A5"/>
    <w:rsid w:val="0050154A"/>
    <w:rsid w:val="00503964"/>
    <w:rsid w:val="00511D14"/>
    <w:rsid w:val="00514507"/>
    <w:rsid w:val="00520E20"/>
    <w:rsid w:val="00521416"/>
    <w:rsid w:val="00521A8F"/>
    <w:rsid w:val="00535A13"/>
    <w:rsid w:val="00536212"/>
    <w:rsid w:val="00542313"/>
    <w:rsid w:val="00545874"/>
    <w:rsid w:val="00551201"/>
    <w:rsid w:val="00561D6D"/>
    <w:rsid w:val="00566C91"/>
    <w:rsid w:val="00572C05"/>
    <w:rsid w:val="00577A80"/>
    <w:rsid w:val="005802B2"/>
    <w:rsid w:val="005806BF"/>
    <w:rsid w:val="005868FE"/>
    <w:rsid w:val="005911E7"/>
    <w:rsid w:val="00593879"/>
    <w:rsid w:val="00594D1F"/>
    <w:rsid w:val="005A0DFE"/>
    <w:rsid w:val="005A648E"/>
    <w:rsid w:val="005B43D8"/>
    <w:rsid w:val="005D7DB5"/>
    <w:rsid w:val="005E5253"/>
    <w:rsid w:val="005E61FA"/>
    <w:rsid w:val="005F1402"/>
    <w:rsid w:val="005F2117"/>
    <w:rsid w:val="005F4611"/>
    <w:rsid w:val="005F4E8C"/>
    <w:rsid w:val="00605658"/>
    <w:rsid w:val="0060710E"/>
    <w:rsid w:val="006106F7"/>
    <w:rsid w:val="00625C44"/>
    <w:rsid w:val="006262AE"/>
    <w:rsid w:val="00630D5F"/>
    <w:rsid w:val="0063144C"/>
    <w:rsid w:val="00641C1E"/>
    <w:rsid w:val="0064227F"/>
    <w:rsid w:val="0065152C"/>
    <w:rsid w:val="00663A07"/>
    <w:rsid w:val="00670A9E"/>
    <w:rsid w:val="006732C7"/>
    <w:rsid w:val="00674A42"/>
    <w:rsid w:val="00677313"/>
    <w:rsid w:val="0068061B"/>
    <w:rsid w:val="00685BEC"/>
    <w:rsid w:val="00686DE6"/>
    <w:rsid w:val="00690192"/>
    <w:rsid w:val="006A5C19"/>
    <w:rsid w:val="006B34F5"/>
    <w:rsid w:val="006B3779"/>
    <w:rsid w:val="006B44F0"/>
    <w:rsid w:val="006B6A5C"/>
    <w:rsid w:val="006C3A86"/>
    <w:rsid w:val="006D156A"/>
    <w:rsid w:val="006E28C6"/>
    <w:rsid w:val="006E3B90"/>
    <w:rsid w:val="006E6E9D"/>
    <w:rsid w:val="006F460B"/>
    <w:rsid w:val="006F5DA1"/>
    <w:rsid w:val="00704F6E"/>
    <w:rsid w:val="0070686D"/>
    <w:rsid w:val="007122B2"/>
    <w:rsid w:val="0071235E"/>
    <w:rsid w:val="00713A8F"/>
    <w:rsid w:val="00716533"/>
    <w:rsid w:val="00723FA0"/>
    <w:rsid w:val="00725042"/>
    <w:rsid w:val="00725604"/>
    <w:rsid w:val="00725766"/>
    <w:rsid w:val="0072699B"/>
    <w:rsid w:val="00753195"/>
    <w:rsid w:val="00753802"/>
    <w:rsid w:val="007556F8"/>
    <w:rsid w:val="00761D1D"/>
    <w:rsid w:val="00761FCC"/>
    <w:rsid w:val="007663C3"/>
    <w:rsid w:val="007727F2"/>
    <w:rsid w:val="00772BB1"/>
    <w:rsid w:val="00776CF3"/>
    <w:rsid w:val="007843D2"/>
    <w:rsid w:val="00787C31"/>
    <w:rsid w:val="007B4638"/>
    <w:rsid w:val="007B5A3D"/>
    <w:rsid w:val="007B70F6"/>
    <w:rsid w:val="007C2A98"/>
    <w:rsid w:val="007D1066"/>
    <w:rsid w:val="007D1D96"/>
    <w:rsid w:val="007D5B22"/>
    <w:rsid w:val="007E05E7"/>
    <w:rsid w:val="007E15BA"/>
    <w:rsid w:val="007E214E"/>
    <w:rsid w:val="007E3230"/>
    <w:rsid w:val="007E5A25"/>
    <w:rsid w:val="007F0E6C"/>
    <w:rsid w:val="007F33C9"/>
    <w:rsid w:val="00803A45"/>
    <w:rsid w:val="00831648"/>
    <w:rsid w:val="008320E0"/>
    <w:rsid w:val="00836E40"/>
    <w:rsid w:val="008377D9"/>
    <w:rsid w:val="008445AA"/>
    <w:rsid w:val="00844B0D"/>
    <w:rsid w:val="008513E3"/>
    <w:rsid w:val="00852706"/>
    <w:rsid w:val="00854B48"/>
    <w:rsid w:val="008556C9"/>
    <w:rsid w:val="008635CC"/>
    <w:rsid w:val="00872109"/>
    <w:rsid w:val="00874CB2"/>
    <w:rsid w:val="00887888"/>
    <w:rsid w:val="00893E8B"/>
    <w:rsid w:val="008968DA"/>
    <w:rsid w:val="008A0531"/>
    <w:rsid w:val="008A13EC"/>
    <w:rsid w:val="008A779E"/>
    <w:rsid w:val="008A7E40"/>
    <w:rsid w:val="008B746D"/>
    <w:rsid w:val="008C722F"/>
    <w:rsid w:val="008D0361"/>
    <w:rsid w:val="008D71F9"/>
    <w:rsid w:val="008E37FC"/>
    <w:rsid w:val="008E6806"/>
    <w:rsid w:val="008F5CC3"/>
    <w:rsid w:val="0090121C"/>
    <w:rsid w:val="00903FDE"/>
    <w:rsid w:val="00913B02"/>
    <w:rsid w:val="00915E60"/>
    <w:rsid w:val="009165B1"/>
    <w:rsid w:val="00920035"/>
    <w:rsid w:val="00921702"/>
    <w:rsid w:val="00922D0B"/>
    <w:rsid w:val="00925EFD"/>
    <w:rsid w:val="009266A9"/>
    <w:rsid w:val="00935041"/>
    <w:rsid w:val="00937BA3"/>
    <w:rsid w:val="00943A31"/>
    <w:rsid w:val="00944AD0"/>
    <w:rsid w:val="0094524D"/>
    <w:rsid w:val="0095101E"/>
    <w:rsid w:val="009525EC"/>
    <w:rsid w:val="0095284E"/>
    <w:rsid w:val="009646D3"/>
    <w:rsid w:val="0096608E"/>
    <w:rsid w:val="009673EE"/>
    <w:rsid w:val="0097443D"/>
    <w:rsid w:val="00984574"/>
    <w:rsid w:val="00987CB1"/>
    <w:rsid w:val="009918D1"/>
    <w:rsid w:val="009927F5"/>
    <w:rsid w:val="0099799B"/>
    <w:rsid w:val="009979D8"/>
    <w:rsid w:val="009A1457"/>
    <w:rsid w:val="009A2975"/>
    <w:rsid w:val="009B6F47"/>
    <w:rsid w:val="009C3ECB"/>
    <w:rsid w:val="009C4107"/>
    <w:rsid w:val="009D208D"/>
    <w:rsid w:val="009D52C4"/>
    <w:rsid w:val="009E18D2"/>
    <w:rsid w:val="009E451B"/>
    <w:rsid w:val="009E7F96"/>
    <w:rsid w:val="009F27C3"/>
    <w:rsid w:val="009F354A"/>
    <w:rsid w:val="009F5BEA"/>
    <w:rsid w:val="009F7CAE"/>
    <w:rsid w:val="00A107C5"/>
    <w:rsid w:val="00A10937"/>
    <w:rsid w:val="00A22205"/>
    <w:rsid w:val="00A301E2"/>
    <w:rsid w:val="00A36596"/>
    <w:rsid w:val="00A36B01"/>
    <w:rsid w:val="00A40457"/>
    <w:rsid w:val="00A4234E"/>
    <w:rsid w:val="00A42BB9"/>
    <w:rsid w:val="00A53F1D"/>
    <w:rsid w:val="00A54B24"/>
    <w:rsid w:val="00A57990"/>
    <w:rsid w:val="00A63EF9"/>
    <w:rsid w:val="00A66E31"/>
    <w:rsid w:val="00A7220C"/>
    <w:rsid w:val="00A76DB7"/>
    <w:rsid w:val="00A81441"/>
    <w:rsid w:val="00A853D7"/>
    <w:rsid w:val="00A8543A"/>
    <w:rsid w:val="00A90115"/>
    <w:rsid w:val="00AA564E"/>
    <w:rsid w:val="00AA70D5"/>
    <w:rsid w:val="00AB0763"/>
    <w:rsid w:val="00AB1A19"/>
    <w:rsid w:val="00AB2760"/>
    <w:rsid w:val="00AB29CB"/>
    <w:rsid w:val="00AC40B8"/>
    <w:rsid w:val="00AC5E40"/>
    <w:rsid w:val="00AD6387"/>
    <w:rsid w:val="00AE2412"/>
    <w:rsid w:val="00AE2898"/>
    <w:rsid w:val="00AE4D5A"/>
    <w:rsid w:val="00B05982"/>
    <w:rsid w:val="00B11E95"/>
    <w:rsid w:val="00B251D2"/>
    <w:rsid w:val="00B25C2A"/>
    <w:rsid w:val="00B26364"/>
    <w:rsid w:val="00B26B93"/>
    <w:rsid w:val="00B425B3"/>
    <w:rsid w:val="00B45C42"/>
    <w:rsid w:val="00B45DD9"/>
    <w:rsid w:val="00B463F4"/>
    <w:rsid w:val="00B466EF"/>
    <w:rsid w:val="00B4687B"/>
    <w:rsid w:val="00B46888"/>
    <w:rsid w:val="00B54353"/>
    <w:rsid w:val="00B57194"/>
    <w:rsid w:val="00B6105E"/>
    <w:rsid w:val="00B610FC"/>
    <w:rsid w:val="00B62547"/>
    <w:rsid w:val="00B64062"/>
    <w:rsid w:val="00B71A32"/>
    <w:rsid w:val="00B760F6"/>
    <w:rsid w:val="00B777E3"/>
    <w:rsid w:val="00B85FCB"/>
    <w:rsid w:val="00B8780C"/>
    <w:rsid w:val="00B964F6"/>
    <w:rsid w:val="00BA7BFC"/>
    <w:rsid w:val="00BB0109"/>
    <w:rsid w:val="00BB1A9C"/>
    <w:rsid w:val="00BB28FC"/>
    <w:rsid w:val="00BB38A7"/>
    <w:rsid w:val="00BB501E"/>
    <w:rsid w:val="00BC09A6"/>
    <w:rsid w:val="00BC2C63"/>
    <w:rsid w:val="00BC41A5"/>
    <w:rsid w:val="00BC7A88"/>
    <w:rsid w:val="00BD0079"/>
    <w:rsid w:val="00BD3025"/>
    <w:rsid w:val="00BE0E08"/>
    <w:rsid w:val="00BF12FC"/>
    <w:rsid w:val="00BF28CA"/>
    <w:rsid w:val="00BF6A0F"/>
    <w:rsid w:val="00C02B6F"/>
    <w:rsid w:val="00C07D01"/>
    <w:rsid w:val="00C134CE"/>
    <w:rsid w:val="00C17A5D"/>
    <w:rsid w:val="00C30187"/>
    <w:rsid w:val="00C30CE0"/>
    <w:rsid w:val="00C44634"/>
    <w:rsid w:val="00C477F6"/>
    <w:rsid w:val="00C50C0A"/>
    <w:rsid w:val="00C50E7F"/>
    <w:rsid w:val="00C64714"/>
    <w:rsid w:val="00C66508"/>
    <w:rsid w:val="00C73B80"/>
    <w:rsid w:val="00C83BB8"/>
    <w:rsid w:val="00C93047"/>
    <w:rsid w:val="00C94C3F"/>
    <w:rsid w:val="00C97E78"/>
    <w:rsid w:val="00CA1451"/>
    <w:rsid w:val="00CA2055"/>
    <w:rsid w:val="00CB2FA0"/>
    <w:rsid w:val="00CC4858"/>
    <w:rsid w:val="00CC6986"/>
    <w:rsid w:val="00CD4A8D"/>
    <w:rsid w:val="00CD7C4B"/>
    <w:rsid w:val="00CF4002"/>
    <w:rsid w:val="00D025EA"/>
    <w:rsid w:val="00D0374A"/>
    <w:rsid w:val="00D06021"/>
    <w:rsid w:val="00D11764"/>
    <w:rsid w:val="00D14309"/>
    <w:rsid w:val="00D220AA"/>
    <w:rsid w:val="00D237D1"/>
    <w:rsid w:val="00D23B41"/>
    <w:rsid w:val="00D334E5"/>
    <w:rsid w:val="00D36B0C"/>
    <w:rsid w:val="00D37ECE"/>
    <w:rsid w:val="00D4142A"/>
    <w:rsid w:val="00D46456"/>
    <w:rsid w:val="00D61C70"/>
    <w:rsid w:val="00D64668"/>
    <w:rsid w:val="00D76687"/>
    <w:rsid w:val="00D8246E"/>
    <w:rsid w:val="00DA5483"/>
    <w:rsid w:val="00DA57EF"/>
    <w:rsid w:val="00DC0C3B"/>
    <w:rsid w:val="00DC2DEA"/>
    <w:rsid w:val="00DC5CAF"/>
    <w:rsid w:val="00DC6841"/>
    <w:rsid w:val="00DD5555"/>
    <w:rsid w:val="00DD6C2C"/>
    <w:rsid w:val="00DE0A4C"/>
    <w:rsid w:val="00DF366F"/>
    <w:rsid w:val="00DF6299"/>
    <w:rsid w:val="00E00DF2"/>
    <w:rsid w:val="00E018FC"/>
    <w:rsid w:val="00E0219D"/>
    <w:rsid w:val="00E02732"/>
    <w:rsid w:val="00E116A6"/>
    <w:rsid w:val="00E21EA5"/>
    <w:rsid w:val="00E232F9"/>
    <w:rsid w:val="00E2591E"/>
    <w:rsid w:val="00E32043"/>
    <w:rsid w:val="00E3593C"/>
    <w:rsid w:val="00E36194"/>
    <w:rsid w:val="00E408B5"/>
    <w:rsid w:val="00E45673"/>
    <w:rsid w:val="00E517F9"/>
    <w:rsid w:val="00E54C2A"/>
    <w:rsid w:val="00E60C0A"/>
    <w:rsid w:val="00E625EA"/>
    <w:rsid w:val="00E640FB"/>
    <w:rsid w:val="00E67074"/>
    <w:rsid w:val="00E67C74"/>
    <w:rsid w:val="00E758F1"/>
    <w:rsid w:val="00E75DE3"/>
    <w:rsid w:val="00E8085A"/>
    <w:rsid w:val="00E834B0"/>
    <w:rsid w:val="00E8365A"/>
    <w:rsid w:val="00E865AD"/>
    <w:rsid w:val="00E873AC"/>
    <w:rsid w:val="00E90417"/>
    <w:rsid w:val="00E94EE1"/>
    <w:rsid w:val="00E97FE1"/>
    <w:rsid w:val="00EB084A"/>
    <w:rsid w:val="00EB0F51"/>
    <w:rsid w:val="00EB1F2F"/>
    <w:rsid w:val="00EC10C1"/>
    <w:rsid w:val="00ED110F"/>
    <w:rsid w:val="00EE162E"/>
    <w:rsid w:val="00EE52B2"/>
    <w:rsid w:val="00EE6066"/>
    <w:rsid w:val="00EE70A3"/>
    <w:rsid w:val="00EE7F9E"/>
    <w:rsid w:val="00EF57C6"/>
    <w:rsid w:val="00F03891"/>
    <w:rsid w:val="00F06ADA"/>
    <w:rsid w:val="00F20CB6"/>
    <w:rsid w:val="00F2117D"/>
    <w:rsid w:val="00F23DAA"/>
    <w:rsid w:val="00F306CE"/>
    <w:rsid w:val="00F31CB9"/>
    <w:rsid w:val="00F44296"/>
    <w:rsid w:val="00F446E3"/>
    <w:rsid w:val="00F476C7"/>
    <w:rsid w:val="00F525F1"/>
    <w:rsid w:val="00F53803"/>
    <w:rsid w:val="00F569EE"/>
    <w:rsid w:val="00F60DB9"/>
    <w:rsid w:val="00F6276E"/>
    <w:rsid w:val="00F647AC"/>
    <w:rsid w:val="00F71EB4"/>
    <w:rsid w:val="00F7381F"/>
    <w:rsid w:val="00F75F53"/>
    <w:rsid w:val="00F81453"/>
    <w:rsid w:val="00F85388"/>
    <w:rsid w:val="00FA3038"/>
    <w:rsid w:val="00FB2A04"/>
    <w:rsid w:val="00FB54DF"/>
    <w:rsid w:val="00FB687F"/>
    <w:rsid w:val="00FB6CE4"/>
    <w:rsid w:val="00FC5069"/>
    <w:rsid w:val="00FD10BD"/>
    <w:rsid w:val="00FD5A70"/>
    <w:rsid w:val="00FD5BB7"/>
    <w:rsid w:val="00FF1787"/>
    <w:rsid w:val="00FF4012"/>
    <w:rsid w:val="00FF6A18"/>
    <w:rsid w:val="04722DB5"/>
    <w:rsid w:val="07B5F387"/>
    <w:rsid w:val="0CCA35B5"/>
    <w:rsid w:val="0F55250C"/>
    <w:rsid w:val="11FC9CA1"/>
    <w:rsid w:val="137BEE09"/>
    <w:rsid w:val="216AB2FD"/>
    <w:rsid w:val="2B73E107"/>
    <w:rsid w:val="30380664"/>
    <w:rsid w:val="4AFF4333"/>
    <w:rsid w:val="54FA1C30"/>
    <w:rsid w:val="5AB60D66"/>
    <w:rsid w:val="5DFCC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90DB"/>
  <w15:chartTrackingRefBased/>
  <w15:docId w15:val="{7DE6E0D2-2394-4B19-AFDB-2570A5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8FC"/>
    <w:rPr>
      <w:color w:val="0563C1" w:themeColor="hyperlink"/>
      <w:u w:val="single"/>
    </w:rPr>
  </w:style>
  <w:style w:type="character" w:styleId="UnresolvedMention">
    <w:name w:val="Unresolved Mention"/>
    <w:basedOn w:val="DefaultParagraphFont"/>
    <w:uiPriority w:val="99"/>
    <w:semiHidden/>
    <w:unhideWhenUsed/>
    <w:rsid w:val="00BB28FC"/>
    <w:rPr>
      <w:color w:val="605E5C"/>
      <w:shd w:val="clear" w:color="auto" w:fill="E1DFDD"/>
    </w:rPr>
  </w:style>
  <w:style w:type="paragraph" w:styleId="Header">
    <w:name w:val="header"/>
    <w:basedOn w:val="Normal"/>
    <w:link w:val="HeaderChar"/>
    <w:uiPriority w:val="99"/>
    <w:unhideWhenUsed/>
    <w:rsid w:val="00F30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6CE"/>
  </w:style>
  <w:style w:type="paragraph" w:styleId="Footer">
    <w:name w:val="footer"/>
    <w:basedOn w:val="Normal"/>
    <w:link w:val="FooterChar"/>
    <w:uiPriority w:val="99"/>
    <w:unhideWhenUsed/>
    <w:rsid w:val="00F30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6CE"/>
  </w:style>
  <w:style w:type="paragraph" w:styleId="FootnoteText">
    <w:name w:val="footnote text"/>
    <w:basedOn w:val="Normal"/>
    <w:link w:val="FootnoteTextChar"/>
    <w:semiHidden/>
    <w:unhideWhenUsed/>
    <w:rsid w:val="00F306CE"/>
    <w:pPr>
      <w:spacing w:after="0" w:line="240" w:lineRule="auto"/>
    </w:pPr>
    <w:rPr>
      <w:rFonts w:ascii="D-DIN" w:hAnsi="D-DIN"/>
      <w:sz w:val="20"/>
      <w:szCs w:val="20"/>
      <w:lang w:eastAsia="zh-CN"/>
    </w:rPr>
  </w:style>
  <w:style w:type="character" w:customStyle="1" w:styleId="FootnoteTextChar">
    <w:name w:val="Footnote Text Char"/>
    <w:basedOn w:val="DefaultParagraphFont"/>
    <w:link w:val="FootnoteText"/>
    <w:semiHidden/>
    <w:rsid w:val="00F306CE"/>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semiHidden/>
    <w:unhideWhenUsed/>
    <w:qFormat/>
    <w:rsid w:val="00F306CE"/>
    <w:rPr>
      <w:vertAlign w:val="superscript"/>
    </w:rPr>
  </w:style>
  <w:style w:type="character" w:styleId="FollowedHyperlink">
    <w:name w:val="FollowedHyperlink"/>
    <w:basedOn w:val="DefaultParagraphFont"/>
    <w:uiPriority w:val="99"/>
    <w:semiHidden/>
    <w:unhideWhenUsed/>
    <w:rsid w:val="009E451B"/>
    <w:rPr>
      <w:color w:val="954F72" w:themeColor="followedHyperlink"/>
      <w:u w:val="single"/>
    </w:rPr>
  </w:style>
  <w:style w:type="character" w:styleId="CommentReference">
    <w:name w:val="annotation reference"/>
    <w:basedOn w:val="DefaultParagraphFont"/>
    <w:uiPriority w:val="99"/>
    <w:semiHidden/>
    <w:unhideWhenUsed/>
    <w:rsid w:val="0002005E"/>
    <w:rPr>
      <w:sz w:val="16"/>
      <w:szCs w:val="16"/>
    </w:rPr>
  </w:style>
  <w:style w:type="paragraph" w:styleId="CommentText">
    <w:name w:val="annotation text"/>
    <w:basedOn w:val="Normal"/>
    <w:link w:val="CommentTextChar"/>
    <w:uiPriority w:val="99"/>
    <w:unhideWhenUsed/>
    <w:rsid w:val="0002005E"/>
    <w:pPr>
      <w:spacing w:line="240" w:lineRule="auto"/>
    </w:pPr>
    <w:rPr>
      <w:sz w:val="20"/>
      <w:szCs w:val="20"/>
    </w:rPr>
  </w:style>
  <w:style w:type="character" w:customStyle="1" w:styleId="CommentTextChar">
    <w:name w:val="Comment Text Char"/>
    <w:basedOn w:val="DefaultParagraphFont"/>
    <w:link w:val="CommentText"/>
    <w:uiPriority w:val="99"/>
    <w:rsid w:val="0002005E"/>
    <w:rPr>
      <w:sz w:val="20"/>
      <w:szCs w:val="20"/>
    </w:rPr>
  </w:style>
  <w:style w:type="paragraph" w:styleId="CommentSubject">
    <w:name w:val="annotation subject"/>
    <w:basedOn w:val="CommentText"/>
    <w:next w:val="CommentText"/>
    <w:link w:val="CommentSubjectChar"/>
    <w:uiPriority w:val="99"/>
    <w:semiHidden/>
    <w:unhideWhenUsed/>
    <w:rsid w:val="0002005E"/>
    <w:rPr>
      <w:b/>
      <w:bCs/>
    </w:rPr>
  </w:style>
  <w:style w:type="character" w:customStyle="1" w:styleId="CommentSubjectChar">
    <w:name w:val="Comment Subject Char"/>
    <w:basedOn w:val="CommentTextChar"/>
    <w:link w:val="CommentSubject"/>
    <w:uiPriority w:val="99"/>
    <w:semiHidden/>
    <w:rsid w:val="0002005E"/>
    <w:rPr>
      <w:b/>
      <w:bCs/>
      <w:sz w:val="20"/>
      <w:szCs w:val="20"/>
    </w:rPr>
  </w:style>
  <w:style w:type="character" w:styleId="Mention">
    <w:name w:val="Mention"/>
    <w:basedOn w:val="DefaultParagraphFont"/>
    <w:uiPriority w:val="99"/>
    <w:unhideWhenUsed/>
    <w:rsid w:val="000200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gov.au/wellbeing/explore-overall-wellbeing/governance-and-institutions/human-rights" TargetMode="External"/><Relationship Id="rId21" Type="http://schemas.openxmlformats.org/officeDocument/2006/relationships/hyperlink" Target="https://social.desa.un.org/issues/disability/crpd/article-25-health" TargetMode="External"/><Relationship Id="rId42" Type="http://schemas.openxmlformats.org/officeDocument/2006/relationships/hyperlink" Target="https://www.advocacyforinclusion.org/white-paper-on-inclusive-education/" TargetMode="External"/><Relationship Id="rId47" Type="http://schemas.openxmlformats.org/officeDocument/2006/relationships/hyperlink" Target="https://social.desa.un.org/issues/disability/crpd/article-19-living-independently-and-being-included-in-the-community" TargetMode="External"/><Relationship Id="rId63" Type="http://schemas.openxmlformats.org/officeDocument/2006/relationships/hyperlink" Target="https://www2.deloitte.com/content/dam/Deloitte/au/Documents/Economics/deloitte-au-economics-business-case-for-philanthropy-in-disability-210223-2023.pdf" TargetMode="External"/><Relationship Id="rId68" Type="http://schemas.openxmlformats.org/officeDocument/2006/relationships/hyperlink" Target="https://pursuit.unimelb.edu.au/articles/disability-thoughts-of-suicide-and-australian-men" TargetMode="External"/><Relationship Id="rId16" Type="http://schemas.openxmlformats.org/officeDocument/2006/relationships/hyperlink" Target="https://www.actcoss.org.au/sites/default/files/public/publications/2021-report-Counting-the-Costs_1.pdf" TargetMode="External"/><Relationship Id="rId11" Type="http://schemas.openxmlformats.org/officeDocument/2006/relationships/hyperlink" Target="https://www.act.gov.au/wellbeing/explore-overall-wellbeing/economy-domain/employment" TargetMode="External"/><Relationship Id="rId24" Type="http://schemas.openxmlformats.org/officeDocument/2006/relationships/hyperlink" Target="https://www.actcoss.org.au/publications/advocacy-publications/imagining-better-reflections-access-choice-and-control-act-health" TargetMode="External"/><Relationship Id="rId32" Type="http://schemas.openxmlformats.org/officeDocument/2006/relationships/hyperlink" Target="https://social.desa.un.org/issues/disability/crpd/article-13-access-to-justice" TargetMode="External"/><Relationship Id="rId37" Type="http://schemas.openxmlformats.org/officeDocument/2006/relationships/hyperlink" Target="https://law.anu.edu.au/sites/all/files/implementing_opcat_in_the_act_report_final.pdf" TargetMode="External"/><Relationship Id="rId40" Type="http://schemas.openxmlformats.org/officeDocument/2006/relationships/hyperlink" Target="https://www.act.gov.au/wellbeing/explore-overall-wellbeing/education-and-life-long-learning-domain/student-belonging" TargetMode="External"/><Relationship Id="rId45" Type="http://schemas.openxmlformats.org/officeDocument/2006/relationships/hyperlink" Target="https://www.act.gov.au/wellbeing/explore-overall-wellbeing/housing-and-home/housing-suitability" TargetMode="External"/><Relationship Id="rId53" Type="http://schemas.openxmlformats.org/officeDocument/2006/relationships/hyperlink" Target="https://www.act.gov.au/wellbeing/explore-overall-wellbeing/access-and-connectivity-domain/access-to-services" TargetMode="External"/><Relationship Id="rId58" Type="http://schemas.openxmlformats.org/officeDocument/2006/relationships/hyperlink" Target="https://www.act.gov.au/wellbeing/explore-overall-wellbeing/health/access-to-health-services" TargetMode="External"/><Relationship Id="rId66" Type="http://schemas.openxmlformats.org/officeDocument/2006/relationships/hyperlink" Target="https://www.act.gov.au/wellbeing/explore-overall-wellbeing/governance-and-institutions/feeling-that-voice-and-perspective-matter" TargetMode="External"/><Relationship Id="rId74" Type="http://schemas.openxmlformats.org/officeDocument/2006/relationships/hyperlink" Target="https://www.act.gov.au/wellbeing/explore-overall-wellbeing/social-connection/participation-in-community-events-and-activities"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social.desa.un.org/issues/disability/crpd/article-11-situations-of-risk-and-humanitarian-emergencies" TargetMode="External"/><Relationship Id="rId19" Type="http://schemas.openxmlformats.org/officeDocument/2006/relationships/hyperlink" Target="https://www.act.gov.au/wellbeing/explore-overall-wellbeing/health/overall-health" TargetMode="External"/><Relationship Id="rId14" Type="http://schemas.openxmlformats.org/officeDocument/2006/relationships/hyperlink" Target="https://social.desa.un.org/issues/disability/crpd/article-3-general-principles" TargetMode="External"/><Relationship Id="rId22" Type="http://schemas.openxmlformats.org/officeDocument/2006/relationships/hyperlink" Target="https://www.actcoss.org.au/sites/default/files/public/publications/2019-report-imagining-better-act-health-services-for-people-with-disability.pdf" TargetMode="External"/><Relationship Id="rId27" Type="http://schemas.openxmlformats.org/officeDocument/2006/relationships/hyperlink" Target="https://www.act.gov.au/wellbeing/explore-overall-wellbeing/access-and-connectivity-domain/access-to-services" TargetMode="External"/><Relationship Id="rId30" Type="http://schemas.openxmlformats.org/officeDocument/2006/relationships/hyperlink" Target="https://www.act.gov.au/wellbeing/explore-overall-wellbeing/governance-and-institutions/access-to-justice-and-restorative-practice" TargetMode="External"/><Relationship Id="rId35" Type="http://schemas.openxmlformats.org/officeDocument/2006/relationships/hyperlink" Target="https://www.mhdcd.unsw.edu.au/sites/www.mhdcd.unsw.edu.au/files/u18/pdf/MHDCDbackgroundOutlaws%20Conf1.pdf" TargetMode="External"/><Relationship Id="rId43" Type="http://schemas.openxmlformats.org/officeDocument/2006/relationships/hyperlink" Target="https://www.act.gov.au/wellbeing/explore-overall-wellbeing/housing-and-home/homelessness" TargetMode="External"/><Relationship Id="rId48" Type="http://schemas.openxmlformats.org/officeDocument/2006/relationships/hyperlink" Target="https://social.desa.un.org/issues/disability/crpd/article-28-adequate-standard-of-living-and-social-protection" TargetMode="External"/><Relationship Id="rId56" Type="http://schemas.openxmlformats.org/officeDocument/2006/relationships/hyperlink" Target="https://social.desa.un.org/issues/disability/crpd/article-9-accessibility" TargetMode="External"/><Relationship Id="rId64" Type="http://schemas.openxmlformats.org/officeDocument/2006/relationships/hyperlink" Target="https://www.actuaries.asn.au/Library/Opinion/2022/ResearchNoteno4.pdf" TargetMode="External"/><Relationship Id="rId69" Type="http://schemas.openxmlformats.org/officeDocument/2006/relationships/hyperlink" Target="https://www.act.gov.au/wellbeing/explore-overall-wellbeing/environment-and-climate/climate-resilient-environment-and-community"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isability.unimelb.edu.au/__data/assets/pdf_file/0010/3969109/Accessible-Housing-Research-Report-22-October-2020.pdf" TargetMode="External"/><Relationship Id="rId72" Type="http://schemas.openxmlformats.org/officeDocument/2006/relationships/hyperlink" Target="https://social.desa.un.org/issues/disability/crpd/article-11-situations-of-risk-and-humanitarian-emergencies" TargetMode="External"/><Relationship Id="rId80"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act.gov.au/wellbeing/explore-overall-wellbeing/living-standards" TargetMode="External"/><Relationship Id="rId17" Type="http://schemas.openxmlformats.org/officeDocument/2006/relationships/hyperlink" Target="https://www.communityservices.act.gov.au/about_us/strategic_policy/community-sector-reform" TargetMode="External"/><Relationship Id="rId25" Type="http://schemas.openxmlformats.org/officeDocument/2006/relationships/hyperlink" Target="https://humanrights.gov.au/our-work/open-letter-progress-height-adjustable-examination-beds" TargetMode="External"/><Relationship Id="rId33" Type="http://schemas.openxmlformats.org/officeDocument/2006/relationships/hyperlink" Target="https://social.desa.un.org/issues/disability/crpd/article-12-equal-recognition-before-the-law" TargetMode="External"/><Relationship Id="rId38" Type="http://schemas.openxmlformats.org/officeDocument/2006/relationships/hyperlink" Target="https://www.act.gov.au/wellbeing/explore-overall-wellbeing/education-and-life-long-learning-domain/equity-of-educational-outcomes" TargetMode="External"/><Relationship Id="rId46" Type="http://schemas.openxmlformats.org/officeDocument/2006/relationships/hyperlink" Target="https://www.act.gov.au/wellbeing/explore-overall-wellbeing/housing-and-home/rental-stress" TargetMode="External"/><Relationship Id="rId59" Type="http://schemas.openxmlformats.org/officeDocument/2006/relationships/hyperlink" Target="https://www.act.gov.au/wellbeing/explore-overall-wellbeing/safety/community-resilience-to-emergencies" TargetMode="External"/><Relationship Id="rId67" Type="http://schemas.openxmlformats.org/officeDocument/2006/relationships/hyperlink" Target="https://social.desa.un.org/issues/disability/crpd/article-10-right-to-life" TargetMode="External"/><Relationship Id="rId20" Type="http://schemas.openxmlformats.org/officeDocument/2006/relationships/hyperlink" Target="https://www.act.gov.au/wellbeing/explore-overall-wellbeing/health/access-to-health-services" TargetMode="External"/><Relationship Id="rId41" Type="http://schemas.openxmlformats.org/officeDocument/2006/relationships/hyperlink" Target="https://social.desa.un.org/issues/disability/crpd/article-24-education" TargetMode="External"/><Relationship Id="rId54" Type="http://schemas.openxmlformats.org/officeDocument/2006/relationships/hyperlink" Target="https://www.act.gov.au/wellbeing/explore-overall-wellbeing/access-and-connectivity-domain/liveable-city" TargetMode="External"/><Relationship Id="rId62" Type="http://schemas.openxmlformats.org/officeDocument/2006/relationships/hyperlink" Target="https://social.desa.un.org/issues/disability/crpd/article-26-habilitation-and-rehabilitation" TargetMode="External"/><Relationship Id="rId70" Type="http://schemas.openxmlformats.org/officeDocument/2006/relationships/hyperlink" Target="https://www.act.gov.au/wellbeing/explore-overall-wellbeing/environment-and-climate" TargetMode="External"/><Relationship Id="rId75" Type="http://schemas.openxmlformats.org/officeDocument/2006/relationships/hyperlink" Target="https://social.desa.un.org/issues/disability/crpd/article-8-awareness-rais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ocial.desa.un.org/issues/disability/crpd/article-4-general-obligations" TargetMode="External"/><Relationship Id="rId23" Type="http://schemas.openxmlformats.org/officeDocument/2006/relationships/hyperlink" Target="https://www.pc.gov.au/ongoing/report-on-government-services/2022/health" TargetMode="External"/><Relationship Id="rId28" Type="http://schemas.openxmlformats.org/officeDocument/2006/relationships/hyperlink" Target="https://www.act.gov.au/wellbeing/explore-overall-wellbeing/health/mental-health" TargetMode="External"/><Relationship Id="rId36" Type="http://schemas.openxmlformats.org/officeDocument/2006/relationships/hyperlink" Target="https://apo.org.au/sites/default/files/resource-files/2022-06/apo-nid318387.pdf" TargetMode="External"/><Relationship Id="rId49" Type="http://schemas.openxmlformats.org/officeDocument/2006/relationships/hyperlink" Target="https://www.pc.gov.au/ongoing/report-on-government-services/2023/housing-and-homelessness/housing" TargetMode="External"/><Relationship Id="rId57" Type="http://schemas.openxmlformats.org/officeDocument/2006/relationships/hyperlink" Target="https://social.desa.un.org/issues/disability/crpd/article-19-living-independently-and-being-included-in-the-community" TargetMode="External"/><Relationship Id="rId10" Type="http://schemas.openxmlformats.org/officeDocument/2006/relationships/hyperlink" Target="https://www.act.gov.au/wellbeing/explore-overall-wellbeing/governance-and-institutions/human-rights" TargetMode="External"/><Relationship Id="rId31" Type="http://schemas.openxmlformats.org/officeDocument/2006/relationships/hyperlink" Target="https://www.act.gov.au/wellbeing/explore-overall-wellbeing/governance-and-institutions/human-rights" TargetMode="External"/><Relationship Id="rId44" Type="http://schemas.openxmlformats.org/officeDocument/2006/relationships/hyperlink" Target="https://www.act.gov.au/wellbeing/explore-overall-wellbeing/housing-and-home/housing-affordability-and-availability" TargetMode="External"/><Relationship Id="rId52" Type="http://schemas.openxmlformats.org/officeDocument/2006/relationships/hyperlink" Target="https://www.anglicare.asn.au/wp-content/uploads/2022/04/Rental-Affordability-Snapshot-Regional-reports.pdf" TargetMode="External"/><Relationship Id="rId60" Type="http://schemas.openxmlformats.org/officeDocument/2006/relationships/hyperlink" Target="https://www.act.gov.au/wellbeing/explore-overall-wellbeing/identity-and-belonging/sense-of-belonging-and-inclusion" TargetMode="External"/><Relationship Id="rId65" Type="http://schemas.openxmlformats.org/officeDocument/2006/relationships/hyperlink" Target="https://www.act.gov.au/wellbeing/explore-overall-wellbeing/governance-and-institutions/human-rights" TargetMode="External"/><Relationship Id="rId73" Type="http://schemas.openxmlformats.org/officeDocument/2006/relationships/hyperlink" Target="https://www.act.gov.au/wellbeing/explore-overall-wellbeing/identity-and-belonging/sense-of-belonging-and-inclusio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ct.gov.au/wellbeing/explore-overall-wellbeing/identity-and-belonging/sense-of-belonging-and-inclusion" TargetMode="External"/><Relationship Id="rId18" Type="http://schemas.openxmlformats.org/officeDocument/2006/relationships/hyperlink" Target="C://Users/CraigWallace/Downloads/deloitte-au-economics-business-case-for-philanthropy-in-disability-210223-2023.pdf" TargetMode="External"/><Relationship Id="rId39" Type="http://schemas.openxmlformats.org/officeDocument/2006/relationships/hyperlink" Target="https://www.act.gov.au/wellbeing/explore-overall-wellbeing/education-and-life-long-learning-domain/learning-for-life" TargetMode="External"/><Relationship Id="rId34" Type="http://schemas.openxmlformats.org/officeDocument/2006/relationships/hyperlink" Target="https://www.ics.act.gov.au/__data/assets/pdf_file/0011/2111888/11432RR-ACT-ICS-Healthy-Prison-Review-Nov-2022_Full-report_FA-tagged.pdf" TargetMode="External"/><Relationship Id="rId50" Type="http://schemas.openxmlformats.org/officeDocument/2006/relationships/hyperlink" Target="https://social.desa.un.org/issues/disability/crpd/article-19-living-independently-and-being-included-in-the-community" TargetMode="External"/><Relationship Id="rId55" Type="http://schemas.openxmlformats.org/officeDocument/2006/relationships/hyperlink" Target="https://www.act.gov.au/wellbeing/explore-overall-wellbeing/access-and-connectivity-domain/transport-use-and-access"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social.desa.un.org/issues/disability/crpd/article-5-equality-and-non-discrimination" TargetMode="External"/><Relationship Id="rId2" Type="http://schemas.openxmlformats.org/officeDocument/2006/relationships/customXml" Target="../customXml/item2.xml"/><Relationship Id="rId29" Type="http://schemas.openxmlformats.org/officeDocument/2006/relationships/hyperlink" Target="https://social.desa.un.org/issues/disability/crpd/article-25-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42e03-88fb-4117-b4f1-64029187ce18">
      <Terms xmlns="http://schemas.microsoft.com/office/infopath/2007/PartnerControls"/>
    </lcf76f155ced4ddcb4097134ff3c332f>
    <TaxCatchAll xmlns="75193a56-53a6-4d11-a635-0b75f0563c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FE702-62BE-4ABB-B668-DFB082E3D24F}">
  <ds:schemaRefs>
    <ds:schemaRef ds:uri="http://schemas.microsoft.com/office/2006/metadata/properties"/>
    <ds:schemaRef ds:uri="http://schemas.microsoft.com/office/infopath/2007/PartnerControls"/>
    <ds:schemaRef ds:uri="29e42e03-88fb-4117-b4f1-64029187ce18"/>
    <ds:schemaRef ds:uri="75193a56-53a6-4d11-a635-0b75f0563cc2"/>
  </ds:schemaRefs>
</ds:datastoreItem>
</file>

<file path=customXml/itemProps2.xml><?xml version="1.0" encoding="utf-8"?>
<ds:datastoreItem xmlns:ds="http://schemas.openxmlformats.org/officeDocument/2006/customXml" ds:itemID="{1984921A-205C-4F58-A03A-AD1D594FCCF2}">
  <ds:schemaRefs>
    <ds:schemaRef ds:uri="http://schemas.openxmlformats.org/officeDocument/2006/bibliography"/>
  </ds:schemaRefs>
</ds:datastoreItem>
</file>

<file path=customXml/itemProps3.xml><?xml version="1.0" encoding="utf-8"?>
<ds:datastoreItem xmlns:ds="http://schemas.openxmlformats.org/officeDocument/2006/customXml" ds:itemID="{3D71C866-1019-4D44-87A3-EBC5C3EA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0EF21-1D01-4CC3-B208-1998EB8A7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5707</Words>
  <Characters>32536</Characters>
  <Application>Microsoft Office Word</Application>
  <DocSecurity>0</DocSecurity>
  <Lines>271</Lines>
  <Paragraphs>76</Paragraphs>
  <ScaleCrop>false</ScaleCrop>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125</cp:revision>
  <dcterms:created xsi:type="dcterms:W3CDTF">2023-03-16T04:29:00Z</dcterms:created>
  <dcterms:modified xsi:type="dcterms:W3CDTF">2023-03-17T01:40:00Z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0x0101001B790164420FE54C9F81E813F02AEC85</vt:lpwstr>
  </property>
</Properties>
</file>