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8DB2" w14:textId="43835000" w:rsidR="004B15AE" w:rsidRDefault="004B15AE"/>
    <w:p w14:paraId="1FA0EEB6" w14:textId="7BF2865E" w:rsidR="00B6675F" w:rsidRDefault="00B6675F"/>
    <w:p w14:paraId="2219C494" w14:textId="51972221" w:rsidR="00B6675F" w:rsidRDefault="00B6675F"/>
    <w:p w14:paraId="2E0526F4" w14:textId="16B425C0" w:rsidR="00B6675F" w:rsidRDefault="00B6675F"/>
    <w:p w14:paraId="1818F8B1" w14:textId="11094BC9" w:rsidR="00B6675F" w:rsidRDefault="00B6675F"/>
    <w:p w14:paraId="5CB43007" w14:textId="57B68965" w:rsidR="000D735A" w:rsidRDefault="007C4636" w:rsidP="000D735A">
      <w:pPr>
        <w:spacing w:after="0" w:line="240" w:lineRule="auto"/>
        <w:rPr>
          <w:rFonts w:cs="Arial"/>
          <w:color w:val="313131"/>
          <w:szCs w:val="24"/>
          <w:shd w:val="clear" w:color="auto" w:fill="FFFFFF"/>
        </w:rPr>
      </w:pPr>
      <w:r w:rsidRPr="007130D7">
        <w:rPr>
          <w:rFonts w:cs="Arial"/>
          <w:color w:val="313131"/>
          <w:szCs w:val="24"/>
          <w:shd w:val="clear" w:color="auto" w:fill="FFFFFF"/>
        </w:rPr>
        <w:t>Standing Committee on Justice and Community Safety</w:t>
      </w:r>
    </w:p>
    <w:p w14:paraId="69D257C6" w14:textId="33FADDEA" w:rsidR="002E633F" w:rsidRPr="007130D7" w:rsidRDefault="002E633F" w:rsidP="000D735A">
      <w:pPr>
        <w:spacing w:after="0" w:line="240" w:lineRule="auto"/>
        <w:rPr>
          <w:rStyle w:val="ui-provider"/>
          <w:rFonts w:cs="Arial"/>
          <w:sz w:val="22"/>
          <w:szCs w:val="20"/>
        </w:rPr>
      </w:pPr>
      <w:r>
        <w:rPr>
          <w:rFonts w:cs="Arial"/>
          <w:color w:val="313131"/>
          <w:szCs w:val="24"/>
          <w:shd w:val="clear" w:color="auto" w:fill="FFFFFF"/>
        </w:rPr>
        <w:t>Inquiry into the Crimes Legislation Amendment Bill 2023</w:t>
      </w:r>
    </w:p>
    <w:p w14:paraId="20F376BD" w14:textId="77777777" w:rsidR="000D735A" w:rsidRPr="00A03C0F" w:rsidRDefault="000D735A" w:rsidP="000D735A">
      <w:pPr>
        <w:spacing w:after="0" w:line="240" w:lineRule="auto"/>
        <w:rPr>
          <w:rStyle w:val="ui-provider"/>
        </w:rPr>
      </w:pPr>
    </w:p>
    <w:p w14:paraId="371F069B" w14:textId="40F96928" w:rsidR="000D735A" w:rsidRPr="00A03C0F" w:rsidRDefault="000D735A" w:rsidP="000D735A">
      <w:pPr>
        <w:spacing w:after="0" w:line="240" w:lineRule="auto"/>
        <w:rPr>
          <w:rStyle w:val="ui-provider"/>
        </w:rPr>
      </w:pPr>
      <w:r>
        <w:rPr>
          <w:rStyle w:val="ui-provider"/>
        </w:rPr>
        <w:t>v</w:t>
      </w:r>
      <w:r w:rsidRPr="00A03C0F">
        <w:rPr>
          <w:rStyle w:val="ui-provider"/>
        </w:rPr>
        <w:t xml:space="preserve">ia email – </w:t>
      </w:r>
      <w:hyperlink r:id="rId9" w:history="1">
        <w:r w:rsidR="00100E1D" w:rsidRPr="006566C2">
          <w:rPr>
            <w:rStyle w:val="Hyperlink"/>
          </w:rPr>
          <w:t>LACommitteeJCS@parliament.act.gov.au</w:t>
        </w:r>
      </w:hyperlink>
      <w:r w:rsidR="00100E1D">
        <w:rPr>
          <w:rStyle w:val="ui-provider"/>
        </w:rPr>
        <w:t xml:space="preserve"> </w:t>
      </w:r>
    </w:p>
    <w:p w14:paraId="3C4D28E6" w14:textId="77777777" w:rsidR="000D735A" w:rsidRPr="00A03C0F" w:rsidRDefault="000D735A" w:rsidP="000D735A">
      <w:pPr>
        <w:spacing w:after="0" w:line="240" w:lineRule="auto"/>
        <w:rPr>
          <w:rStyle w:val="ui-provider"/>
        </w:rPr>
      </w:pPr>
    </w:p>
    <w:p w14:paraId="69DF88C2" w14:textId="77777777" w:rsidR="006E4F5C" w:rsidRDefault="006E4F5C" w:rsidP="000D735A">
      <w:pPr>
        <w:spacing w:after="0" w:line="240" w:lineRule="auto"/>
        <w:rPr>
          <w:rStyle w:val="ui-provider"/>
          <w:b/>
          <w:bCs/>
        </w:rPr>
      </w:pPr>
    </w:p>
    <w:p w14:paraId="7726C90E" w14:textId="357F25F2" w:rsidR="000D735A" w:rsidRPr="00A91C23" w:rsidRDefault="000D735A" w:rsidP="000D735A">
      <w:pPr>
        <w:spacing w:after="0" w:line="240" w:lineRule="auto"/>
        <w:rPr>
          <w:rStyle w:val="ui-provider"/>
          <w:b/>
          <w:bCs/>
        </w:rPr>
      </w:pPr>
      <w:r w:rsidRPr="00A91C23">
        <w:rPr>
          <w:rStyle w:val="ui-provider"/>
          <w:b/>
          <w:bCs/>
        </w:rPr>
        <w:t xml:space="preserve">Re: </w:t>
      </w:r>
      <w:r w:rsidR="00892586">
        <w:rPr>
          <w:rStyle w:val="ui-provider"/>
          <w:b/>
          <w:bCs/>
        </w:rPr>
        <w:t>Crimes Legislation Amendment Bill 2023</w:t>
      </w:r>
    </w:p>
    <w:p w14:paraId="25FC258F" w14:textId="77777777" w:rsidR="000D735A" w:rsidRPr="00A03C0F" w:rsidRDefault="000D735A" w:rsidP="000D735A">
      <w:pPr>
        <w:spacing w:after="0" w:line="240" w:lineRule="auto"/>
        <w:rPr>
          <w:rStyle w:val="ui-provider"/>
        </w:rPr>
      </w:pPr>
    </w:p>
    <w:p w14:paraId="5539A202" w14:textId="19E2D08C" w:rsidR="000D735A" w:rsidRDefault="000D735A" w:rsidP="000D735A">
      <w:pPr>
        <w:spacing w:after="0" w:line="240" w:lineRule="auto"/>
        <w:rPr>
          <w:rStyle w:val="ui-provider"/>
        </w:rPr>
      </w:pPr>
      <w:r w:rsidRPr="00A03C0F">
        <w:rPr>
          <w:rStyle w:val="ui-provider"/>
        </w:rPr>
        <w:t>Thank you for the opportunity to make a</w:t>
      </w:r>
      <w:r w:rsidR="00DB3E65">
        <w:rPr>
          <w:rStyle w:val="ui-provider"/>
        </w:rPr>
        <w:t xml:space="preserve"> brief</w:t>
      </w:r>
      <w:r w:rsidRPr="00A03C0F">
        <w:rPr>
          <w:rStyle w:val="ui-provider"/>
        </w:rPr>
        <w:t xml:space="preserve"> submission to the </w:t>
      </w:r>
      <w:r w:rsidR="00E87542">
        <w:rPr>
          <w:rStyle w:val="ui-provider"/>
        </w:rPr>
        <w:t>Inquiry into the</w:t>
      </w:r>
      <w:r w:rsidR="00531F94">
        <w:rPr>
          <w:rStyle w:val="ui-provider"/>
        </w:rPr>
        <w:t xml:space="preserve"> </w:t>
      </w:r>
      <w:r w:rsidR="00531F94" w:rsidRPr="009944F4">
        <w:rPr>
          <w:rStyle w:val="ui-provider"/>
          <w:i/>
          <w:iCs/>
        </w:rPr>
        <w:t>Crimes Legislation Amendment Bill 2023</w:t>
      </w:r>
      <w:r w:rsidRPr="00A03C0F">
        <w:rPr>
          <w:rStyle w:val="ui-provider"/>
        </w:rPr>
        <w:t xml:space="preserve">. </w:t>
      </w:r>
    </w:p>
    <w:p w14:paraId="1F09165F" w14:textId="77777777" w:rsidR="000D735A" w:rsidRPr="00A03C0F" w:rsidRDefault="000D735A" w:rsidP="000D735A">
      <w:pPr>
        <w:spacing w:after="0" w:line="240" w:lineRule="auto"/>
        <w:rPr>
          <w:rStyle w:val="ui-provider"/>
        </w:rPr>
      </w:pPr>
    </w:p>
    <w:p w14:paraId="7DC40974" w14:textId="4908EB31" w:rsidR="00331461" w:rsidRPr="006D18E2" w:rsidRDefault="00331461" w:rsidP="00331461">
      <w:pPr>
        <w:spacing w:line="259" w:lineRule="auto"/>
        <w:rPr>
          <w:rFonts w:cs="Arial"/>
          <w:color w:val="000000" w:themeColor="text1"/>
          <w:szCs w:val="24"/>
        </w:rPr>
      </w:pPr>
      <w:r w:rsidRPr="006D18E2">
        <w:rPr>
          <w:rFonts w:cs="Arial"/>
          <w:color w:val="000000" w:themeColor="text1"/>
          <w:szCs w:val="24"/>
        </w:rPr>
        <w:t xml:space="preserve">Advocacy for Inclusion </w:t>
      </w:r>
      <w:r w:rsidR="00FB6724">
        <w:rPr>
          <w:rFonts w:cs="Arial"/>
          <w:color w:val="000000" w:themeColor="text1"/>
          <w:szCs w:val="24"/>
        </w:rPr>
        <w:t xml:space="preserve">(AFI) </w:t>
      </w:r>
      <w:r w:rsidRPr="006D18E2">
        <w:rPr>
          <w:rFonts w:cs="Arial"/>
          <w:color w:val="000000" w:themeColor="text1"/>
          <w:szCs w:val="24"/>
        </w:rPr>
        <w:t>is an independent</w:t>
      </w:r>
      <w:r w:rsidR="007D5B34">
        <w:rPr>
          <w:rFonts w:cs="Arial"/>
          <w:color w:val="000000" w:themeColor="text1"/>
          <w:szCs w:val="24"/>
        </w:rPr>
        <w:t xml:space="preserve"> </w:t>
      </w:r>
      <w:r w:rsidR="003A4F8C">
        <w:rPr>
          <w:rFonts w:cs="Arial"/>
          <w:color w:val="000000" w:themeColor="text1"/>
          <w:szCs w:val="24"/>
        </w:rPr>
        <w:t>o</w:t>
      </w:r>
      <w:r w:rsidR="007D5B34">
        <w:rPr>
          <w:rFonts w:cs="Arial"/>
          <w:color w:val="000000" w:themeColor="text1"/>
          <w:szCs w:val="24"/>
        </w:rPr>
        <w:t>rganisation</w:t>
      </w:r>
      <w:r w:rsidRPr="006D18E2">
        <w:rPr>
          <w:rFonts w:cs="Arial"/>
          <w:color w:val="000000" w:themeColor="text1"/>
          <w:szCs w:val="24"/>
        </w:rPr>
        <w:t xml:space="preserve"> delivering reputable national systemic advocacy informed by our experience in individual advocacy and community and government consultation.  We provide dedicated individual and self-advocacy services, training, information and resources in the ACT.  </w:t>
      </w:r>
    </w:p>
    <w:p w14:paraId="64AB9EA6" w14:textId="0DEE8268" w:rsidR="00331461" w:rsidRPr="006D18E2" w:rsidRDefault="00331461" w:rsidP="00331461">
      <w:pPr>
        <w:spacing w:line="259" w:lineRule="auto"/>
        <w:rPr>
          <w:rFonts w:cs="Arial"/>
          <w:color w:val="000000" w:themeColor="text1"/>
          <w:szCs w:val="24"/>
        </w:rPr>
      </w:pPr>
      <w:r w:rsidRPr="006D18E2">
        <w:rPr>
          <w:rFonts w:cs="Arial"/>
          <w:color w:val="000000" w:themeColor="text1"/>
          <w:szCs w:val="24"/>
        </w:rPr>
        <w:t>As a Disabled People’s Organisation, the majority of our organisation, including our Board of Management, staff and members, are people with disabilities. A</w:t>
      </w:r>
      <w:r w:rsidR="00931ADA">
        <w:rPr>
          <w:rFonts w:cs="Arial"/>
          <w:color w:val="000000" w:themeColor="text1"/>
          <w:szCs w:val="24"/>
        </w:rPr>
        <w:t>F</w:t>
      </w:r>
      <w:r w:rsidRPr="006D18E2">
        <w:rPr>
          <w:rFonts w:cs="Arial"/>
          <w:color w:val="000000" w:themeColor="text1"/>
          <w:szCs w:val="24"/>
        </w:rPr>
        <w:t>I</w:t>
      </w:r>
      <w:r w:rsidR="00931ADA">
        <w:rPr>
          <w:rFonts w:cs="Arial"/>
          <w:color w:val="000000" w:themeColor="text1"/>
          <w:szCs w:val="24"/>
        </w:rPr>
        <w:t xml:space="preserve"> </w:t>
      </w:r>
      <w:r w:rsidRPr="006D18E2">
        <w:rPr>
          <w:rFonts w:cs="Arial"/>
          <w:color w:val="000000" w:themeColor="text1"/>
          <w:szCs w:val="24"/>
        </w:rPr>
        <w:t>speaks with the authority of lived experience. It is strongly committed to advancing opportunities for the insights, experiences and opinions of people with disabilities to be heard and acknowledged.</w:t>
      </w:r>
    </w:p>
    <w:p w14:paraId="26F23BB8" w14:textId="3095ACB1" w:rsidR="00331461" w:rsidRDefault="00331461" w:rsidP="00331461">
      <w:pPr>
        <w:spacing w:line="259" w:lineRule="auto"/>
        <w:rPr>
          <w:rFonts w:cs="Arial"/>
          <w:color w:val="000000" w:themeColor="text1"/>
          <w:szCs w:val="24"/>
        </w:rPr>
      </w:pPr>
      <w:r w:rsidRPr="006D18E2">
        <w:rPr>
          <w:rFonts w:cs="Arial"/>
          <w:color w:val="000000" w:themeColor="text1"/>
          <w:szCs w:val="24"/>
        </w:rPr>
        <w:t>A</w:t>
      </w:r>
      <w:r w:rsidR="00931ADA">
        <w:rPr>
          <w:rFonts w:cs="Arial"/>
          <w:color w:val="000000" w:themeColor="text1"/>
          <w:szCs w:val="24"/>
        </w:rPr>
        <w:t>FI</w:t>
      </w:r>
      <w:r w:rsidRPr="006D18E2">
        <w:rPr>
          <w:rFonts w:cs="Arial"/>
          <w:color w:val="000000" w:themeColor="text1"/>
          <w:szCs w:val="24"/>
        </w:rPr>
        <w:t xml:space="preserve"> operates under a human rights framework. We uphold the principles of the United Nations Convention on the Rights of Persons with Disabilities and strive to promote and advance the human rights and inclusion of people with disabilities in the community.  A</w:t>
      </w:r>
      <w:r w:rsidR="00D94446">
        <w:rPr>
          <w:rFonts w:cs="Arial"/>
          <w:color w:val="000000" w:themeColor="text1"/>
          <w:szCs w:val="24"/>
        </w:rPr>
        <w:t>FI</w:t>
      </w:r>
      <w:r w:rsidRPr="006D18E2">
        <w:rPr>
          <w:rFonts w:cs="Arial"/>
          <w:color w:val="000000" w:themeColor="text1"/>
          <w:szCs w:val="24"/>
        </w:rPr>
        <w:t xml:space="preserve"> is a declared public authority under the Human Rights Act 2004.</w:t>
      </w:r>
    </w:p>
    <w:p w14:paraId="7EA75CF9" w14:textId="6E0481B7" w:rsidR="00991ED2" w:rsidRDefault="00991ED2" w:rsidP="00991ED2">
      <w:pPr>
        <w:spacing w:after="0" w:line="240" w:lineRule="auto"/>
        <w:rPr>
          <w:rStyle w:val="ui-provider"/>
        </w:rPr>
      </w:pPr>
      <w:r>
        <w:t xml:space="preserve">Our submission to this inquiry provides general feedback relating to the amendments within the </w:t>
      </w:r>
      <w:r>
        <w:rPr>
          <w:i/>
          <w:iCs/>
        </w:rPr>
        <w:t>Crimes (Sentencing) Act 2005</w:t>
      </w:r>
      <w:r>
        <w:t xml:space="preserve"> and the </w:t>
      </w:r>
      <w:r>
        <w:rPr>
          <w:i/>
          <w:iCs/>
        </w:rPr>
        <w:t>Magistrates Act 1930.</w:t>
      </w:r>
      <w:r>
        <w:t xml:space="preserve"> The focus of our submission is to highlight the necessity of ensuring disability perspectives and issues are considered in the proposed amendments in relation to non-parole periods and extension of time to pay penalties.</w:t>
      </w:r>
    </w:p>
    <w:p w14:paraId="4C13EA24" w14:textId="77777777" w:rsidR="00622411" w:rsidRDefault="00622411" w:rsidP="00681DAA">
      <w:pPr>
        <w:spacing w:after="0" w:line="240" w:lineRule="auto"/>
        <w:rPr>
          <w:rStyle w:val="ui-provider"/>
        </w:rPr>
      </w:pPr>
    </w:p>
    <w:p w14:paraId="6E93F066" w14:textId="68742DF4" w:rsidR="00A91231" w:rsidRDefault="0037575D" w:rsidP="00681DAA">
      <w:pPr>
        <w:spacing w:after="0" w:line="240" w:lineRule="auto"/>
        <w:rPr>
          <w:rStyle w:val="ui-provider"/>
        </w:rPr>
      </w:pPr>
      <w:r>
        <w:rPr>
          <w:rStyle w:val="ui-provider"/>
        </w:rPr>
        <w:t xml:space="preserve">While </w:t>
      </w:r>
      <w:r w:rsidR="00937ADF">
        <w:rPr>
          <w:rStyle w:val="ui-provider"/>
        </w:rPr>
        <w:t>AFI</w:t>
      </w:r>
      <w:r>
        <w:rPr>
          <w:rStyle w:val="ui-provider"/>
        </w:rPr>
        <w:t xml:space="preserve"> do not have </w:t>
      </w:r>
      <w:r w:rsidR="00E0616E">
        <w:rPr>
          <w:rStyle w:val="ui-provider"/>
        </w:rPr>
        <w:t>expertise</w:t>
      </w:r>
      <w:r w:rsidR="001B56C7">
        <w:rPr>
          <w:rStyle w:val="ui-provider"/>
        </w:rPr>
        <w:t xml:space="preserve"> in this area</w:t>
      </w:r>
      <w:r w:rsidR="00713F9E">
        <w:rPr>
          <w:rStyle w:val="ui-provider"/>
        </w:rPr>
        <w:t xml:space="preserve"> and cannot comment on the broader application of the </w:t>
      </w:r>
      <w:r w:rsidR="00937ADF">
        <w:rPr>
          <w:rStyle w:val="ui-provider"/>
        </w:rPr>
        <w:t>proposed amendments</w:t>
      </w:r>
      <w:r w:rsidR="009C3240" w:rsidRPr="009C3240">
        <w:rPr>
          <w:rStyle w:val="ui-provider"/>
        </w:rPr>
        <w:t xml:space="preserve"> </w:t>
      </w:r>
      <w:r w:rsidR="009C3240">
        <w:rPr>
          <w:rStyle w:val="ui-provider"/>
        </w:rPr>
        <w:t xml:space="preserve">to the </w:t>
      </w:r>
      <w:r w:rsidR="009C3240">
        <w:rPr>
          <w:rStyle w:val="ui-provider"/>
          <w:i/>
          <w:iCs/>
        </w:rPr>
        <w:t>Crimes Legislation Amendment Bill 2023</w:t>
      </w:r>
      <w:r w:rsidR="00937ADF">
        <w:rPr>
          <w:rStyle w:val="ui-provider"/>
        </w:rPr>
        <w:t>, we</w:t>
      </w:r>
      <w:r w:rsidR="007E0917">
        <w:rPr>
          <w:rStyle w:val="ui-provider"/>
        </w:rPr>
        <w:t xml:space="preserve"> cautiously </w:t>
      </w:r>
      <w:r w:rsidR="0064103F">
        <w:rPr>
          <w:rStyle w:val="ui-provider"/>
        </w:rPr>
        <w:t xml:space="preserve">support changes </w:t>
      </w:r>
      <w:r w:rsidR="003F6E5A">
        <w:rPr>
          <w:rStyle w:val="ui-provider"/>
        </w:rPr>
        <w:t>in relation</w:t>
      </w:r>
      <w:r w:rsidR="00B92452">
        <w:rPr>
          <w:rStyle w:val="ui-provider"/>
        </w:rPr>
        <w:t xml:space="preserve"> to non-parole periods</w:t>
      </w:r>
      <w:r w:rsidR="003D0CFF">
        <w:rPr>
          <w:rStyle w:val="ui-provider"/>
        </w:rPr>
        <w:t xml:space="preserve"> and extension of time to pay penalties. </w:t>
      </w:r>
      <w:r w:rsidR="000D735A" w:rsidRPr="00A03C0F">
        <w:rPr>
          <w:rStyle w:val="ui-provider"/>
        </w:rPr>
        <w:t xml:space="preserve">We note the need to mitigate </w:t>
      </w:r>
      <w:r w:rsidR="000D735A">
        <w:rPr>
          <w:rStyle w:val="ui-provider"/>
        </w:rPr>
        <w:t>the</w:t>
      </w:r>
      <w:r w:rsidR="000D735A" w:rsidRPr="00A03C0F">
        <w:rPr>
          <w:rStyle w:val="ui-provider"/>
        </w:rPr>
        <w:t xml:space="preserve"> effects o</w:t>
      </w:r>
      <w:r w:rsidR="00320150">
        <w:rPr>
          <w:rStyle w:val="ui-provider"/>
        </w:rPr>
        <w:t>f</w:t>
      </w:r>
      <w:r w:rsidR="000D735A" w:rsidRPr="00A03C0F">
        <w:rPr>
          <w:rStyle w:val="ui-provider"/>
        </w:rPr>
        <w:t xml:space="preserve"> </w:t>
      </w:r>
      <w:r w:rsidR="00652007">
        <w:rPr>
          <w:rStyle w:val="ui-provider"/>
        </w:rPr>
        <w:t xml:space="preserve">any </w:t>
      </w:r>
      <w:r w:rsidR="00D6477B">
        <w:rPr>
          <w:rStyle w:val="ui-provider"/>
        </w:rPr>
        <w:t xml:space="preserve">changes to the legislation on </w:t>
      </w:r>
      <w:r w:rsidR="000D735A" w:rsidRPr="00A03C0F">
        <w:rPr>
          <w:rStyle w:val="ui-provider"/>
        </w:rPr>
        <w:t>people with disability</w:t>
      </w:r>
      <w:r w:rsidR="00596764">
        <w:rPr>
          <w:rStyle w:val="ui-provider"/>
        </w:rPr>
        <w:t>,</w:t>
      </w:r>
      <w:r w:rsidR="000D735A" w:rsidRPr="00A03C0F">
        <w:rPr>
          <w:rStyle w:val="ui-provider"/>
        </w:rPr>
        <w:t xml:space="preserve"> as well as minimising unintended consequences.  </w:t>
      </w:r>
    </w:p>
    <w:p w14:paraId="7A071175" w14:textId="77777777" w:rsidR="00982079" w:rsidRDefault="00982079" w:rsidP="00681DAA">
      <w:pPr>
        <w:spacing w:after="0" w:line="240" w:lineRule="auto"/>
        <w:rPr>
          <w:rStyle w:val="ui-provider"/>
        </w:rPr>
      </w:pPr>
    </w:p>
    <w:p w14:paraId="0F3B3C55" w14:textId="44CEA059" w:rsidR="00982079" w:rsidRPr="00A834E6" w:rsidRDefault="00A834E6" w:rsidP="00681DAA">
      <w:pPr>
        <w:spacing w:after="0" w:line="240" w:lineRule="auto"/>
        <w:rPr>
          <w:rStyle w:val="ui-provider"/>
        </w:rPr>
      </w:pPr>
      <w:r>
        <w:rPr>
          <w:rStyle w:val="ui-provider"/>
          <w:b/>
          <w:bCs/>
        </w:rPr>
        <w:lastRenderedPageBreak/>
        <w:t>P</w:t>
      </w:r>
      <w:r w:rsidR="009A5806">
        <w:rPr>
          <w:rStyle w:val="ui-provider"/>
          <w:b/>
          <w:bCs/>
        </w:rPr>
        <w:t xml:space="preserve">art 5 – </w:t>
      </w:r>
      <w:r w:rsidR="00596764" w:rsidRPr="00A834E6">
        <w:rPr>
          <w:rStyle w:val="ui-provider"/>
          <w:b/>
          <w:bCs/>
        </w:rPr>
        <w:t>Crimes</w:t>
      </w:r>
      <w:r w:rsidR="009A5806">
        <w:rPr>
          <w:rStyle w:val="ui-provider"/>
          <w:b/>
          <w:bCs/>
        </w:rPr>
        <w:t xml:space="preserve"> </w:t>
      </w:r>
      <w:r w:rsidR="00596764" w:rsidRPr="00A834E6">
        <w:rPr>
          <w:rStyle w:val="ui-provider"/>
          <w:b/>
          <w:bCs/>
        </w:rPr>
        <w:t>(Sentencing</w:t>
      </w:r>
      <w:r w:rsidR="00AB5515" w:rsidRPr="00A834E6">
        <w:rPr>
          <w:rStyle w:val="ui-provider"/>
          <w:b/>
          <w:bCs/>
        </w:rPr>
        <w:t>) Act 2005</w:t>
      </w:r>
    </w:p>
    <w:p w14:paraId="0BD7641B" w14:textId="77777777" w:rsidR="00A91231" w:rsidRPr="00BA70A4" w:rsidRDefault="00A91231" w:rsidP="00762BD0">
      <w:pPr>
        <w:spacing w:after="0" w:line="240" w:lineRule="auto"/>
        <w:rPr>
          <w:rStyle w:val="ui-provider"/>
        </w:rPr>
      </w:pPr>
      <w:r w:rsidRPr="00BA70A4">
        <w:rPr>
          <w:rStyle w:val="ui-provider"/>
        </w:rPr>
        <w:t xml:space="preserve">Clause 8 – Section 64 (2), definition of </w:t>
      </w:r>
      <w:r w:rsidRPr="00BA70A4">
        <w:rPr>
          <w:rStyle w:val="ui-provider"/>
          <w:i/>
          <w:iCs/>
        </w:rPr>
        <w:t>excluded sentence of imprisonment</w:t>
      </w:r>
      <w:r w:rsidRPr="00BA70A4">
        <w:rPr>
          <w:rStyle w:val="ui-provider"/>
        </w:rPr>
        <w:t xml:space="preserve">, paragraph (a) </w:t>
      </w:r>
    </w:p>
    <w:p w14:paraId="3DC0E1A6" w14:textId="77777777" w:rsidR="003E522E" w:rsidRDefault="003E522E" w:rsidP="00F95029">
      <w:pPr>
        <w:spacing w:after="0" w:line="240" w:lineRule="auto"/>
        <w:rPr>
          <w:rStyle w:val="ui-provider"/>
        </w:rPr>
      </w:pPr>
    </w:p>
    <w:p w14:paraId="67A16C40" w14:textId="7A5A6E5D" w:rsidR="00F95029" w:rsidRDefault="000655FB" w:rsidP="00F95029">
      <w:pPr>
        <w:spacing w:after="0" w:line="240" w:lineRule="auto"/>
        <w:rPr>
          <w:rStyle w:val="ui-provider"/>
        </w:rPr>
      </w:pPr>
      <w:r>
        <w:rPr>
          <w:rStyle w:val="ui-provider"/>
        </w:rPr>
        <w:t>AFI understand</w:t>
      </w:r>
      <w:r w:rsidR="001541CF">
        <w:rPr>
          <w:rStyle w:val="ui-provider"/>
        </w:rPr>
        <w:t>s</w:t>
      </w:r>
      <w:r>
        <w:rPr>
          <w:rStyle w:val="ui-provider"/>
        </w:rPr>
        <w:t xml:space="preserve"> that t</w:t>
      </w:r>
      <w:r w:rsidR="00A91231" w:rsidRPr="0033058E">
        <w:rPr>
          <w:rStyle w:val="ui-provider"/>
        </w:rPr>
        <w:t xml:space="preserve">he purpose </w:t>
      </w:r>
      <w:r w:rsidR="003D7346">
        <w:rPr>
          <w:rStyle w:val="ui-provider"/>
        </w:rPr>
        <w:t xml:space="preserve">of </w:t>
      </w:r>
      <w:r w:rsidR="00A91231" w:rsidRPr="0033058E">
        <w:rPr>
          <w:rStyle w:val="ui-provider"/>
        </w:rPr>
        <w:t>this clause</w:t>
      </w:r>
      <w:r w:rsidR="00EB435D">
        <w:rPr>
          <w:rStyle w:val="ui-provider"/>
        </w:rPr>
        <w:t xml:space="preserve"> relates to allowing</w:t>
      </w:r>
      <w:r w:rsidR="00FB4557">
        <w:rPr>
          <w:rStyle w:val="ui-provider"/>
        </w:rPr>
        <w:t xml:space="preserve"> </w:t>
      </w:r>
      <w:r w:rsidR="00F95029" w:rsidRPr="00F95029">
        <w:rPr>
          <w:rStyle w:val="ui-provider"/>
        </w:rPr>
        <w:t xml:space="preserve">the court discretion to consider the individual circumstances </w:t>
      </w:r>
      <w:r w:rsidR="00057F78">
        <w:rPr>
          <w:rStyle w:val="ui-provider"/>
        </w:rPr>
        <w:t xml:space="preserve">around detainees who may have committed an offence while in custody. </w:t>
      </w:r>
      <w:r w:rsidR="00F95029" w:rsidRPr="00F95029">
        <w:rPr>
          <w:rStyle w:val="ui-provider"/>
        </w:rPr>
        <w:t xml:space="preserve">This may allow more detainees the opportunity to become eligible for parole, </w:t>
      </w:r>
      <w:r w:rsidR="00973CAA">
        <w:rPr>
          <w:rStyle w:val="ui-provider"/>
        </w:rPr>
        <w:t>by not extending their sentence</w:t>
      </w:r>
      <w:r w:rsidR="00821540">
        <w:rPr>
          <w:rStyle w:val="ui-provider"/>
        </w:rPr>
        <w:t>.</w:t>
      </w:r>
    </w:p>
    <w:p w14:paraId="50C6110F" w14:textId="77777777" w:rsidR="00C26EA1" w:rsidRDefault="00C26EA1" w:rsidP="00F95029">
      <w:pPr>
        <w:spacing w:after="0" w:line="240" w:lineRule="auto"/>
        <w:rPr>
          <w:rStyle w:val="ui-provider"/>
        </w:rPr>
      </w:pPr>
    </w:p>
    <w:p w14:paraId="111DAED1" w14:textId="1C8A4A8C" w:rsidR="000840B6" w:rsidRDefault="00C26EA1" w:rsidP="00B13262">
      <w:pPr>
        <w:spacing w:after="0" w:line="240" w:lineRule="auto"/>
        <w:rPr>
          <w:rStyle w:val="ui-provider"/>
        </w:rPr>
      </w:pPr>
      <w:r>
        <w:rPr>
          <w:rStyle w:val="ui-provider"/>
        </w:rPr>
        <w:t>AFI welcomes this as a positive</w:t>
      </w:r>
      <w:r w:rsidR="000070A9">
        <w:rPr>
          <w:rStyle w:val="ui-provider"/>
        </w:rPr>
        <w:t xml:space="preserve"> step towards not extending a person’s sentence</w:t>
      </w:r>
      <w:r w:rsidR="0047249D">
        <w:rPr>
          <w:rStyle w:val="ui-provider"/>
        </w:rPr>
        <w:t xml:space="preserve"> where it has been ruled appropriate</w:t>
      </w:r>
      <w:r w:rsidR="00EB74DB">
        <w:rPr>
          <w:rStyle w:val="ui-provider"/>
        </w:rPr>
        <w:t xml:space="preserve"> to do</w:t>
      </w:r>
      <w:r w:rsidR="00960BED">
        <w:rPr>
          <w:rStyle w:val="ui-provider"/>
        </w:rPr>
        <w:t xml:space="preserve"> so</w:t>
      </w:r>
      <w:r w:rsidR="0047249D">
        <w:rPr>
          <w:rStyle w:val="ui-provider"/>
        </w:rPr>
        <w:t xml:space="preserve"> by a court. However, we would also</w:t>
      </w:r>
      <w:r w:rsidR="00375182">
        <w:rPr>
          <w:rStyle w:val="ui-provider"/>
        </w:rPr>
        <w:t xml:space="preserve"> like to draw your attention to </w:t>
      </w:r>
      <w:r w:rsidR="00375182" w:rsidRPr="00B13262">
        <w:rPr>
          <w:rStyle w:val="ui-provider"/>
        </w:rPr>
        <w:t>consider a person</w:t>
      </w:r>
      <w:r w:rsidR="00E83233">
        <w:rPr>
          <w:rStyle w:val="ui-provider"/>
        </w:rPr>
        <w:t xml:space="preserve"> with disability and how their</w:t>
      </w:r>
      <w:r w:rsidR="00375182" w:rsidRPr="00B13262">
        <w:rPr>
          <w:rStyle w:val="ui-provider"/>
        </w:rPr>
        <w:t xml:space="preserve"> behaviour </w:t>
      </w:r>
      <w:r w:rsidR="000840B6">
        <w:rPr>
          <w:rStyle w:val="ui-provider"/>
        </w:rPr>
        <w:t>is assessed</w:t>
      </w:r>
      <w:r w:rsidR="00960BED">
        <w:rPr>
          <w:rStyle w:val="ui-provider"/>
        </w:rPr>
        <w:t xml:space="preserve"> in general</w:t>
      </w:r>
      <w:r w:rsidR="00227703">
        <w:rPr>
          <w:rStyle w:val="ui-provider"/>
        </w:rPr>
        <w:t xml:space="preserve"> while in custody.</w:t>
      </w:r>
    </w:p>
    <w:p w14:paraId="159A5EF8" w14:textId="3202BADB" w:rsidR="00960BED" w:rsidRDefault="00960BED" w:rsidP="00B13262">
      <w:pPr>
        <w:spacing w:after="0" w:line="240" w:lineRule="auto"/>
        <w:rPr>
          <w:rStyle w:val="ui-provider"/>
        </w:rPr>
      </w:pPr>
    </w:p>
    <w:p w14:paraId="005AAE9C" w14:textId="1024353E" w:rsidR="00227703" w:rsidRDefault="00960BED" w:rsidP="002A61EF">
      <w:pPr>
        <w:pStyle w:val="paragraph"/>
        <w:spacing w:before="0" w:beforeAutospacing="0" w:after="0" w:afterAutospacing="0"/>
        <w:textAlignment w:val="baseline"/>
        <w:rPr>
          <w:rFonts w:asciiTheme="minorHAnsi" w:hAnsiTheme="minorHAnsi" w:cstheme="minorHAnsi"/>
          <w:sz w:val="22"/>
          <w:szCs w:val="22"/>
        </w:rPr>
      </w:pPr>
      <w:r w:rsidRPr="002A61EF">
        <w:rPr>
          <w:rFonts w:ascii="Arial" w:eastAsiaTheme="minorHAnsi" w:hAnsi="Arial" w:cstheme="minorHAnsi"/>
          <w:szCs w:val="22"/>
          <w:lang w:eastAsia="en-US"/>
        </w:rPr>
        <w:t>Research shows us</w:t>
      </w:r>
      <w:r w:rsidR="00CE387C" w:rsidRPr="002A61EF">
        <w:rPr>
          <w:rFonts w:ascii="Arial" w:eastAsiaTheme="minorHAnsi" w:hAnsi="Arial" w:cstheme="minorHAnsi"/>
          <w:szCs w:val="22"/>
          <w:lang w:eastAsia="en-US"/>
        </w:rPr>
        <w:t xml:space="preserve"> that</w:t>
      </w:r>
      <w:r w:rsidR="00227703" w:rsidRPr="002A61EF">
        <w:rPr>
          <w:rFonts w:ascii="Arial" w:eastAsiaTheme="minorHAnsi" w:hAnsi="Arial" w:cstheme="minorHAnsi"/>
          <w:szCs w:val="22"/>
          <w:lang w:eastAsia="en-US"/>
        </w:rPr>
        <w:t xml:space="preserve"> </w:t>
      </w:r>
      <w:r w:rsidR="00E94FB9">
        <w:rPr>
          <w:rFonts w:ascii="Arial" w:eastAsiaTheme="minorHAnsi" w:hAnsi="Arial" w:cstheme="minorHAnsi"/>
          <w:szCs w:val="22"/>
          <w:lang w:eastAsia="en-US"/>
        </w:rPr>
        <w:t>p</w:t>
      </w:r>
      <w:r w:rsidR="00227703" w:rsidRPr="002A61EF">
        <w:rPr>
          <w:rFonts w:ascii="Arial" w:eastAsiaTheme="minorHAnsi" w:hAnsi="Arial" w:cstheme="minorHAnsi"/>
          <w:szCs w:val="22"/>
          <w:lang w:eastAsia="en-US"/>
        </w:rPr>
        <w:t>eople with disability face a wide range of systemic and structural barriers to accessing justice. Inadequate disability support is linked to cycles of offending and reincarceration for people with disability</w:t>
      </w:r>
      <w:r w:rsidR="00227703" w:rsidRPr="00D05233">
        <w:rPr>
          <w:rFonts w:asciiTheme="minorHAnsi" w:hAnsiTheme="minorHAnsi" w:cstheme="minorHAnsi"/>
          <w:sz w:val="22"/>
          <w:szCs w:val="22"/>
        </w:rPr>
        <w:t>.</w:t>
      </w:r>
      <w:r w:rsidR="00227703" w:rsidRPr="002A61EF">
        <w:rPr>
          <w:rStyle w:val="FootnoteReference"/>
          <w:rFonts w:ascii="Arial" w:hAnsi="Arial" w:cs="Arial"/>
        </w:rPr>
        <w:footnoteReference w:id="1"/>
      </w:r>
    </w:p>
    <w:p w14:paraId="73000412" w14:textId="77777777" w:rsidR="008F3F0C" w:rsidRDefault="008F3F0C" w:rsidP="002A61EF">
      <w:pPr>
        <w:pStyle w:val="paragraph"/>
        <w:spacing w:before="0" w:beforeAutospacing="0" w:after="0" w:afterAutospacing="0"/>
        <w:textAlignment w:val="baseline"/>
        <w:rPr>
          <w:rFonts w:asciiTheme="minorHAnsi" w:hAnsiTheme="minorHAnsi" w:cstheme="minorHAnsi"/>
          <w:sz w:val="22"/>
          <w:szCs w:val="22"/>
        </w:rPr>
      </w:pPr>
    </w:p>
    <w:p w14:paraId="1F4BB79A" w14:textId="4645905B" w:rsidR="008F3F0C" w:rsidRPr="00AB0395" w:rsidRDefault="008F3F0C" w:rsidP="008F3F0C">
      <w:pPr>
        <w:spacing w:after="0" w:line="240" w:lineRule="auto"/>
        <w:rPr>
          <w:rStyle w:val="ui-provider"/>
          <w:b/>
          <w:bCs/>
        </w:rPr>
      </w:pPr>
      <w:r w:rsidRPr="00B13262">
        <w:rPr>
          <w:rStyle w:val="ui-provider"/>
        </w:rPr>
        <w:t>This can create difficulties for people with disability as unaddressed support needs resulting in behavioural symptoms may lead to additional disciplinary charges</w:t>
      </w:r>
      <w:r>
        <w:rPr>
          <w:rStyle w:val="ui-provider"/>
        </w:rPr>
        <w:t xml:space="preserve"> while in custody</w:t>
      </w:r>
      <w:r w:rsidRPr="00B13262">
        <w:rPr>
          <w:rStyle w:val="ui-provider"/>
        </w:rPr>
        <w:t xml:space="preserve">. In turn, this </w:t>
      </w:r>
      <w:r w:rsidR="00D9415E">
        <w:rPr>
          <w:rStyle w:val="ui-provider"/>
        </w:rPr>
        <w:t xml:space="preserve">could </w:t>
      </w:r>
      <w:r w:rsidRPr="00B13262">
        <w:rPr>
          <w:rStyle w:val="ui-provider"/>
        </w:rPr>
        <w:t xml:space="preserve">increase the likelihood that people with disability will be assessed as being at risk of reoffending. </w:t>
      </w:r>
    </w:p>
    <w:p w14:paraId="0ACAC09B" w14:textId="77777777" w:rsidR="008F3F0C" w:rsidRPr="00D05233" w:rsidRDefault="008F3F0C" w:rsidP="002A61EF">
      <w:pPr>
        <w:pStyle w:val="paragraph"/>
        <w:spacing w:before="0" w:beforeAutospacing="0" w:after="0" w:afterAutospacing="0"/>
        <w:textAlignment w:val="baseline"/>
        <w:rPr>
          <w:rFonts w:asciiTheme="minorHAnsi" w:hAnsiTheme="minorHAnsi" w:cstheme="minorHAnsi"/>
          <w:sz w:val="22"/>
          <w:szCs w:val="22"/>
        </w:rPr>
      </w:pPr>
    </w:p>
    <w:p w14:paraId="0216F9EF" w14:textId="77777777" w:rsidR="002A443F" w:rsidRDefault="00CE387C" w:rsidP="00E97A65">
      <w:pPr>
        <w:spacing w:after="0" w:line="240" w:lineRule="auto"/>
        <w:rPr>
          <w:rStyle w:val="ui-provider"/>
        </w:rPr>
      </w:pPr>
      <w:r w:rsidRPr="003A5A85">
        <w:rPr>
          <w:rFonts w:cstheme="minorHAnsi"/>
        </w:rPr>
        <w:t xml:space="preserve">Notably, this </w:t>
      </w:r>
      <w:r w:rsidR="00980117">
        <w:rPr>
          <w:rFonts w:cstheme="minorHAnsi"/>
        </w:rPr>
        <w:t xml:space="preserve">can </w:t>
      </w:r>
      <w:r w:rsidRPr="003A5A85">
        <w:rPr>
          <w:rFonts w:cstheme="minorHAnsi"/>
        </w:rPr>
        <w:t>occur where behaviours associated with disability and undiagnosed health conditions are interpreted as offending behaviour.</w:t>
      </w:r>
      <w:r w:rsidR="00980117">
        <w:rPr>
          <w:rFonts w:cstheme="minorHAnsi"/>
        </w:rPr>
        <w:t xml:space="preserve"> </w:t>
      </w:r>
      <w:r w:rsidR="00E97A65" w:rsidRPr="00E97A65">
        <w:rPr>
          <w:rStyle w:val="ui-provider"/>
        </w:rPr>
        <w:t>In the ACT, only 14 percent of respondent detainees reported ever being told they had an intellectual disability. Upon subsequent screening, 1 in 4 respondents screened positive.</w:t>
      </w:r>
      <w:r w:rsidR="00E97A65" w:rsidRPr="00E97A65">
        <w:rPr>
          <w:rStyle w:val="ui-provider"/>
          <w:vertAlign w:val="superscript"/>
        </w:rPr>
        <w:footnoteReference w:id="2"/>
      </w:r>
      <w:r w:rsidR="002A443F">
        <w:rPr>
          <w:rStyle w:val="ui-provider"/>
        </w:rPr>
        <w:t xml:space="preserve"> </w:t>
      </w:r>
    </w:p>
    <w:p w14:paraId="116B026D" w14:textId="77777777" w:rsidR="002A443F" w:rsidRDefault="002A443F" w:rsidP="00E97A65">
      <w:pPr>
        <w:spacing w:after="0" w:line="240" w:lineRule="auto"/>
        <w:rPr>
          <w:rStyle w:val="ui-provider"/>
        </w:rPr>
      </w:pPr>
    </w:p>
    <w:p w14:paraId="4AD9201F" w14:textId="1FFDE401" w:rsidR="00E37A30" w:rsidRDefault="002A443F" w:rsidP="00B13262">
      <w:pPr>
        <w:spacing w:after="0" w:line="240" w:lineRule="auto"/>
        <w:rPr>
          <w:rStyle w:val="ui-provider"/>
        </w:rPr>
      </w:pPr>
      <w:r>
        <w:rPr>
          <w:rStyle w:val="ui-provider"/>
        </w:rPr>
        <w:t>AFI are aware the Alexander Machonochie Centre (</w:t>
      </w:r>
      <w:r w:rsidRPr="0033058E">
        <w:rPr>
          <w:rStyle w:val="ui-provider"/>
        </w:rPr>
        <w:t>AMC</w:t>
      </w:r>
      <w:r>
        <w:rPr>
          <w:rStyle w:val="ui-provider"/>
        </w:rPr>
        <w:t>) is working towards improved disability screening</w:t>
      </w:r>
      <w:r w:rsidR="00E3565B">
        <w:rPr>
          <w:rStyle w:val="ui-provider"/>
        </w:rPr>
        <w:t xml:space="preserve"> and</w:t>
      </w:r>
      <w:r w:rsidR="00BF0C77">
        <w:rPr>
          <w:rStyle w:val="ui-provider"/>
        </w:rPr>
        <w:t xml:space="preserve"> providing disability</w:t>
      </w:r>
      <w:r w:rsidR="00E3565B">
        <w:rPr>
          <w:rStyle w:val="ui-provider"/>
        </w:rPr>
        <w:t xml:space="preserve"> support</w:t>
      </w:r>
      <w:r w:rsidR="008F5F65">
        <w:rPr>
          <w:rStyle w:val="ui-provider"/>
        </w:rPr>
        <w:t>s</w:t>
      </w:r>
      <w:r w:rsidR="003169A8">
        <w:rPr>
          <w:rStyle w:val="ui-provider"/>
        </w:rPr>
        <w:t xml:space="preserve">. </w:t>
      </w:r>
      <w:r w:rsidR="003E5F00">
        <w:rPr>
          <w:rStyle w:val="ui-provider"/>
        </w:rPr>
        <w:t>This cou</w:t>
      </w:r>
      <w:r w:rsidR="007B683B">
        <w:rPr>
          <w:rStyle w:val="ui-provider"/>
        </w:rPr>
        <w:t>ld help mitigate the instances where a detainee</w:t>
      </w:r>
      <w:r w:rsidR="00D330CF">
        <w:rPr>
          <w:rStyle w:val="ui-provider"/>
        </w:rPr>
        <w:t>’s behaviour</w:t>
      </w:r>
      <w:r w:rsidR="00F73ED2">
        <w:rPr>
          <w:rStyle w:val="ui-provider"/>
        </w:rPr>
        <w:t xml:space="preserve"> relating to their disability, is misinterpreted</w:t>
      </w:r>
      <w:r w:rsidR="00596CFF">
        <w:rPr>
          <w:rStyle w:val="ui-provider"/>
        </w:rPr>
        <w:t xml:space="preserve"> as a punishable offence within custody.</w:t>
      </w:r>
    </w:p>
    <w:p w14:paraId="7857B186" w14:textId="77777777" w:rsidR="00E37A30" w:rsidRDefault="00E37A30" w:rsidP="00B13262">
      <w:pPr>
        <w:spacing w:after="0" w:line="240" w:lineRule="auto"/>
        <w:rPr>
          <w:rStyle w:val="ui-provider"/>
        </w:rPr>
      </w:pPr>
    </w:p>
    <w:p w14:paraId="379B21C5" w14:textId="590D1E98" w:rsidR="00375182" w:rsidRPr="003177AC" w:rsidRDefault="00E37A30" w:rsidP="00B13262">
      <w:pPr>
        <w:spacing w:after="0" w:line="240" w:lineRule="auto"/>
        <w:rPr>
          <w:rStyle w:val="ui-provider"/>
        </w:rPr>
      </w:pPr>
      <w:r>
        <w:rPr>
          <w:rStyle w:val="ui-provider"/>
        </w:rPr>
        <w:t>T</w:t>
      </w:r>
      <w:r w:rsidR="00382E9D">
        <w:rPr>
          <w:rStyle w:val="ui-provider"/>
        </w:rPr>
        <w:t xml:space="preserve">ogether with the proposed changes </w:t>
      </w:r>
      <w:r w:rsidR="008E616B">
        <w:rPr>
          <w:rStyle w:val="ui-provider"/>
        </w:rPr>
        <w:t xml:space="preserve">to </w:t>
      </w:r>
      <w:r w:rsidR="00BA1450">
        <w:rPr>
          <w:rStyle w:val="ui-provider"/>
        </w:rPr>
        <w:t xml:space="preserve">the </w:t>
      </w:r>
      <w:r w:rsidR="00BA1450">
        <w:rPr>
          <w:rStyle w:val="ui-provider"/>
          <w:i/>
          <w:iCs/>
        </w:rPr>
        <w:t>Crimes (Sen</w:t>
      </w:r>
      <w:r w:rsidR="003177AC">
        <w:rPr>
          <w:rStyle w:val="ui-provider"/>
          <w:i/>
          <w:iCs/>
        </w:rPr>
        <w:t>tencing) Act</w:t>
      </w:r>
      <w:r w:rsidR="003177AC">
        <w:rPr>
          <w:rStyle w:val="ui-provider"/>
        </w:rPr>
        <w:t xml:space="preserve"> relating to the excluded punishment clause</w:t>
      </w:r>
      <w:r>
        <w:rPr>
          <w:rStyle w:val="ui-provider"/>
        </w:rPr>
        <w:t>, AFI see this as</w:t>
      </w:r>
      <w:r w:rsidR="00DD1ACE">
        <w:rPr>
          <w:rStyle w:val="ui-provider"/>
        </w:rPr>
        <w:t xml:space="preserve"> a positive step for people with disability serving custodial sentences</w:t>
      </w:r>
      <w:r w:rsidR="00D25705">
        <w:rPr>
          <w:rStyle w:val="ui-provider"/>
        </w:rPr>
        <w:t>, particularly if this is</w:t>
      </w:r>
      <w:r w:rsidR="00C750A7">
        <w:rPr>
          <w:rStyle w:val="ui-provider"/>
        </w:rPr>
        <w:t xml:space="preserve"> linked with</w:t>
      </w:r>
      <w:r w:rsidR="000D163E">
        <w:rPr>
          <w:rStyle w:val="ui-provider"/>
        </w:rPr>
        <w:t xml:space="preserve"> addressing the supp</w:t>
      </w:r>
      <w:r w:rsidR="00A75CD1">
        <w:rPr>
          <w:rStyle w:val="ui-provider"/>
        </w:rPr>
        <w:t>ort needs of detainees with disability at the AMC.</w:t>
      </w:r>
    </w:p>
    <w:p w14:paraId="437C0B74" w14:textId="77777777" w:rsidR="00681DAA" w:rsidRPr="0033058E" w:rsidRDefault="00681DAA" w:rsidP="000D735A">
      <w:pPr>
        <w:spacing w:after="0" w:line="240" w:lineRule="auto"/>
        <w:rPr>
          <w:rStyle w:val="ui-provider"/>
        </w:rPr>
      </w:pPr>
    </w:p>
    <w:p w14:paraId="02AE634C" w14:textId="77777777" w:rsidR="00596CFF" w:rsidRDefault="00596CFF" w:rsidP="00B66398">
      <w:pPr>
        <w:spacing w:after="0" w:line="240" w:lineRule="auto"/>
        <w:rPr>
          <w:rStyle w:val="ui-provider"/>
        </w:rPr>
      </w:pPr>
    </w:p>
    <w:p w14:paraId="3FA457FE" w14:textId="77777777" w:rsidR="00596CFF" w:rsidRDefault="00596CFF" w:rsidP="00B66398">
      <w:pPr>
        <w:spacing w:after="0" w:line="240" w:lineRule="auto"/>
        <w:rPr>
          <w:rStyle w:val="ui-provider"/>
        </w:rPr>
      </w:pPr>
    </w:p>
    <w:p w14:paraId="3E451597" w14:textId="77777777" w:rsidR="00596CFF" w:rsidRDefault="00596CFF" w:rsidP="00B66398">
      <w:pPr>
        <w:spacing w:after="0" w:line="240" w:lineRule="auto"/>
        <w:rPr>
          <w:rStyle w:val="ui-provider"/>
        </w:rPr>
      </w:pPr>
    </w:p>
    <w:p w14:paraId="4A5593CD" w14:textId="77777777" w:rsidR="00596CFF" w:rsidRDefault="00596CFF" w:rsidP="00B66398">
      <w:pPr>
        <w:spacing w:after="0" w:line="240" w:lineRule="auto"/>
        <w:rPr>
          <w:rStyle w:val="ui-provider"/>
        </w:rPr>
      </w:pPr>
    </w:p>
    <w:p w14:paraId="2B612BF1" w14:textId="77777777" w:rsidR="00596CFF" w:rsidRDefault="00596CFF" w:rsidP="00B66398">
      <w:pPr>
        <w:spacing w:after="0" w:line="240" w:lineRule="auto"/>
        <w:rPr>
          <w:rStyle w:val="ui-provider"/>
        </w:rPr>
      </w:pPr>
    </w:p>
    <w:p w14:paraId="1D213F79" w14:textId="00763B60" w:rsidR="00596CFF" w:rsidRDefault="00596CFF">
      <w:pPr>
        <w:spacing w:line="259" w:lineRule="auto"/>
        <w:rPr>
          <w:rStyle w:val="ui-provider"/>
        </w:rPr>
      </w:pPr>
      <w:r>
        <w:rPr>
          <w:rStyle w:val="ui-provider"/>
        </w:rPr>
        <w:br w:type="page"/>
      </w:r>
    </w:p>
    <w:p w14:paraId="009993FB" w14:textId="78D09AD9" w:rsidR="00644655" w:rsidRPr="009A033C" w:rsidRDefault="00320033" w:rsidP="00B66398">
      <w:pPr>
        <w:spacing w:after="0" w:line="240" w:lineRule="auto"/>
        <w:rPr>
          <w:rStyle w:val="ui-provider"/>
          <w:b/>
          <w:bCs/>
        </w:rPr>
      </w:pPr>
      <w:r w:rsidRPr="009A033C">
        <w:rPr>
          <w:rStyle w:val="ui-provider"/>
          <w:b/>
          <w:bCs/>
        </w:rPr>
        <w:lastRenderedPageBreak/>
        <w:t xml:space="preserve">Part 9 </w:t>
      </w:r>
      <w:r w:rsidR="00AB7513" w:rsidRPr="009A033C">
        <w:rPr>
          <w:rStyle w:val="ui-provider"/>
          <w:b/>
          <w:bCs/>
        </w:rPr>
        <w:t>–</w:t>
      </w:r>
      <w:r w:rsidRPr="009A033C">
        <w:rPr>
          <w:rStyle w:val="ui-provider"/>
          <w:b/>
          <w:bCs/>
        </w:rPr>
        <w:t xml:space="preserve"> </w:t>
      </w:r>
      <w:r w:rsidR="00BC5E36" w:rsidRPr="009A033C">
        <w:rPr>
          <w:rStyle w:val="ui-provider"/>
          <w:b/>
          <w:bCs/>
        </w:rPr>
        <w:t>Magistrates Act 1930</w:t>
      </w:r>
    </w:p>
    <w:p w14:paraId="50F107E2" w14:textId="5F410D99" w:rsidR="008744C3" w:rsidRDefault="008744C3" w:rsidP="009A033C">
      <w:pPr>
        <w:spacing w:after="0" w:line="240" w:lineRule="auto"/>
        <w:rPr>
          <w:rStyle w:val="ui-provider"/>
        </w:rPr>
      </w:pPr>
      <w:r w:rsidRPr="009A033C">
        <w:rPr>
          <w:rStyle w:val="ui-provider"/>
        </w:rPr>
        <w:t>Clause</w:t>
      </w:r>
      <w:r w:rsidR="00B74BFE">
        <w:rPr>
          <w:rStyle w:val="ui-provider"/>
        </w:rPr>
        <w:t>s</w:t>
      </w:r>
      <w:r w:rsidRPr="009A033C">
        <w:rPr>
          <w:rStyle w:val="ui-provider"/>
        </w:rPr>
        <w:t xml:space="preserve"> 19 –</w:t>
      </w:r>
      <w:r w:rsidR="00B74BFE">
        <w:rPr>
          <w:rStyle w:val="ui-provider"/>
        </w:rPr>
        <w:t xml:space="preserve"> 23</w:t>
      </w:r>
      <w:r w:rsidRPr="009A033C">
        <w:rPr>
          <w:rStyle w:val="ui-provider"/>
        </w:rPr>
        <w:t xml:space="preserve"> </w:t>
      </w:r>
    </w:p>
    <w:p w14:paraId="37E8C90B" w14:textId="77777777" w:rsidR="00A335F4" w:rsidRDefault="00A335F4" w:rsidP="00273D55">
      <w:pPr>
        <w:spacing w:after="0" w:line="240" w:lineRule="auto"/>
        <w:rPr>
          <w:rStyle w:val="ui-provider"/>
        </w:rPr>
      </w:pPr>
    </w:p>
    <w:p w14:paraId="6E4507E5" w14:textId="77777777" w:rsidR="00C06D1A" w:rsidRDefault="002942E5" w:rsidP="00273D55">
      <w:pPr>
        <w:spacing w:after="0" w:line="240" w:lineRule="auto"/>
        <w:rPr>
          <w:rStyle w:val="ui-provider"/>
        </w:rPr>
      </w:pPr>
      <w:r w:rsidRPr="00F17161">
        <w:rPr>
          <w:rStyle w:val="ui-provider"/>
        </w:rPr>
        <w:t>A</w:t>
      </w:r>
      <w:r>
        <w:rPr>
          <w:rStyle w:val="ui-provider"/>
        </w:rPr>
        <w:t>FI welcome</w:t>
      </w:r>
      <w:r w:rsidR="004069E4">
        <w:rPr>
          <w:rStyle w:val="ui-provider"/>
        </w:rPr>
        <w:t>s</w:t>
      </w:r>
      <w:r>
        <w:rPr>
          <w:rStyle w:val="ui-provider"/>
        </w:rPr>
        <w:t xml:space="preserve"> amendments to </w:t>
      </w:r>
      <w:r w:rsidR="00B82C1A">
        <w:rPr>
          <w:rStyle w:val="ui-provider"/>
        </w:rPr>
        <w:t>the</w:t>
      </w:r>
      <w:r>
        <w:rPr>
          <w:rStyle w:val="ui-provider"/>
        </w:rPr>
        <w:t xml:space="preserve"> extension of time to pay penalties </w:t>
      </w:r>
      <w:r w:rsidR="00B100DE">
        <w:rPr>
          <w:rStyle w:val="ui-provider"/>
        </w:rPr>
        <w:t xml:space="preserve">section of the </w:t>
      </w:r>
      <w:r w:rsidR="00B100DE">
        <w:rPr>
          <w:rStyle w:val="ui-provider"/>
          <w:i/>
          <w:iCs/>
        </w:rPr>
        <w:t>Magistrates Act 1930</w:t>
      </w:r>
      <w:r w:rsidR="00634B70">
        <w:rPr>
          <w:rStyle w:val="ui-provider"/>
        </w:rPr>
        <w:t xml:space="preserve"> </w:t>
      </w:r>
      <w:r w:rsidR="000179B7">
        <w:rPr>
          <w:rStyle w:val="ui-provider"/>
        </w:rPr>
        <w:t>allowing people</w:t>
      </w:r>
      <w:r w:rsidR="002D21C0">
        <w:rPr>
          <w:rStyle w:val="ui-provider"/>
        </w:rPr>
        <w:t xml:space="preserve"> additional time to pay a penalty for a wide range of reasons</w:t>
      </w:r>
      <w:r w:rsidR="00C06D1A">
        <w:rPr>
          <w:rStyle w:val="ui-provider"/>
        </w:rPr>
        <w:t>.</w:t>
      </w:r>
      <w:r w:rsidR="00350FD4">
        <w:rPr>
          <w:rStyle w:val="ui-provider"/>
        </w:rPr>
        <w:t xml:space="preserve"> </w:t>
      </w:r>
    </w:p>
    <w:p w14:paraId="433A3140" w14:textId="77777777" w:rsidR="00C06D1A" w:rsidRDefault="00C06D1A" w:rsidP="00273D55">
      <w:pPr>
        <w:spacing w:after="0" w:line="240" w:lineRule="auto"/>
        <w:rPr>
          <w:rStyle w:val="ui-provider"/>
        </w:rPr>
      </w:pPr>
    </w:p>
    <w:p w14:paraId="60988C7B" w14:textId="3C1B529F" w:rsidR="00636058" w:rsidRDefault="00DF3783" w:rsidP="00273D55">
      <w:pPr>
        <w:spacing w:after="0" w:line="240" w:lineRule="auto"/>
        <w:rPr>
          <w:rStyle w:val="ui-provider"/>
        </w:rPr>
      </w:pPr>
      <w:r>
        <w:rPr>
          <w:rStyle w:val="ui-provider"/>
        </w:rPr>
        <w:t xml:space="preserve">We note the </w:t>
      </w:r>
      <w:r w:rsidR="00634B70">
        <w:rPr>
          <w:rStyle w:val="ui-provider"/>
        </w:rPr>
        <w:t>addition of the new section</w:t>
      </w:r>
      <w:r w:rsidR="00A657E9">
        <w:rPr>
          <w:rStyle w:val="ui-provider"/>
        </w:rPr>
        <w:t>s</w:t>
      </w:r>
      <w:r w:rsidR="000179B7">
        <w:rPr>
          <w:rStyle w:val="ui-provider"/>
        </w:rPr>
        <w:t xml:space="preserve"> </w:t>
      </w:r>
      <w:r w:rsidR="00672320">
        <w:rPr>
          <w:rStyle w:val="ui-provider"/>
        </w:rPr>
        <w:t>extending the period o</w:t>
      </w:r>
      <w:r w:rsidR="003964D0">
        <w:rPr>
          <w:rStyle w:val="ui-provider"/>
        </w:rPr>
        <w:t>f</w:t>
      </w:r>
      <w:r w:rsidR="00672320">
        <w:rPr>
          <w:rStyle w:val="ui-provider"/>
        </w:rPr>
        <w:t xml:space="preserve"> be</w:t>
      </w:r>
      <w:r>
        <w:rPr>
          <w:rStyle w:val="ui-provider"/>
        </w:rPr>
        <w:t>ginnin</w:t>
      </w:r>
      <w:r w:rsidR="00672320">
        <w:rPr>
          <w:rStyle w:val="ui-provider"/>
        </w:rPr>
        <w:t>g prosecution</w:t>
      </w:r>
      <w:r w:rsidR="005A5D5C">
        <w:rPr>
          <w:rStyle w:val="ui-provider"/>
        </w:rPr>
        <w:t xml:space="preserve"> for </w:t>
      </w:r>
      <w:r w:rsidR="006F1665">
        <w:rPr>
          <w:rStyle w:val="ui-provider"/>
        </w:rPr>
        <w:t>an</w:t>
      </w:r>
      <w:r w:rsidR="005A5D5C">
        <w:rPr>
          <w:rStyle w:val="ui-provider"/>
        </w:rPr>
        <w:t xml:space="preserve"> infringement notic</w:t>
      </w:r>
      <w:r w:rsidR="008459DB">
        <w:rPr>
          <w:rStyle w:val="ui-provider"/>
        </w:rPr>
        <w:t>e</w:t>
      </w:r>
      <w:r w:rsidR="005A5D5C">
        <w:rPr>
          <w:rStyle w:val="ui-provider"/>
        </w:rPr>
        <w:t xml:space="preserve"> offence</w:t>
      </w:r>
      <w:r w:rsidR="00433756">
        <w:rPr>
          <w:rStyle w:val="ui-provider"/>
        </w:rPr>
        <w:t>,</w:t>
      </w:r>
      <w:r w:rsidR="0001318F">
        <w:rPr>
          <w:rStyle w:val="ui-provider"/>
        </w:rPr>
        <w:t xml:space="preserve"> together with the sections </w:t>
      </w:r>
      <w:r w:rsidR="0042583D">
        <w:rPr>
          <w:rStyle w:val="ui-provider"/>
        </w:rPr>
        <w:t xml:space="preserve">offering either alternate pathways to </w:t>
      </w:r>
      <w:r w:rsidR="00762373">
        <w:rPr>
          <w:rStyle w:val="ui-provider"/>
        </w:rPr>
        <w:t>pay</w:t>
      </w:r>
      <w:r w:rsidR="00433756">
        <w:rPr>
          <w:rStyle w:val="ui-provider"/>
        </w:rPr>
        <w:t>ing</w:t>
      </w:r>
      <w:r w:rsidR="00762373">
        <w:rPr>
          <w:rStyle w:val="ui-provider"/>
        </w:rPr>
        <w:t xml:space="preserve"> penalties</w:t>
      </w:r>
      <w:r w:rsidR="00716848">
        <w:rPr>
          <w:rStyle w:val="ui-provider"/>
        </w:rPr>
        <w:t xml:space="preserve"> or </w:t>
      </w:r>
      <w:r w:rsidR="004010E8">
        <w:rPr>
          <w:rStyle w:val="ui-provider"/>
        </w:rPr>
        <w:t xml:space="preserve">the </w:t>
      </w:r>
      <w:r w:rsidR="00716848">
        <w:rPr>
          <w:rStyle w:val="ui-provider"/>
        </w:rPr>
        <w:t xml:space="preserve">discretionary </w:t>
      </w:r>
      <w:r w:rsidR="001B4EE6">
        <w:rPr>
          <w:rStyle w:val="ui-provider"/>
        </w:rPr>
        <w:t>waiving of penalties.</w:t>
      </w:r>
    </w:p>
    <w:p w14:paraId="1E23FFF5" w14:textId="77777777" w:rsidR="00706229" w:rsidRDefault="00706229" w:rsidP="00273D55">
      <w:pPr>
        <w:spacing w:after="0" w:line="240" w:lineRule="auto"/>
        <w:rPr>
          <w:rStyle w:val="ui-provider"/>
        </w:rPr>
      </w:pPr>
    </w:p>
    <w:p w14:paraId="53BED20A" w14:textId="6060E99F" w:rsidR="00706229" w:rsidRDefault="00706229" w:rsidP="00273D55">
      <w:pPr>
        <w:spacing w:after="0" w:line="240" w:lineRule="auto"/>
        <w:rPr>
          <w:rStyle w:val="ui-provider"/>
        </w:rPr>
      </w:pPr>
      <w:r>
        <w:rPr>
          <w:rStyle w:val="ui-provider"/>
        </w:rPr>
        <w:t xml:space="preserve">While </w:t>
      </w:r>
      <w:r w:rsidR="00704653">
        <w:rPr>
          <w:rStyle w:val="ui-provider"/>
        </w:rPr>
        <w:t>we welcome th</w:t>
      </w:r>
      <w:r w:rsidR="001B4EE6">
        <w:rPr>
          <w:rStyle w:val="ui-provider"/>
        </w:rPr>
        <w:t>e</w:t>
      </w:r>
      <w:r w:rsidR="00704653">
        <w:rPr>
          <w:rStyle w:val="ui-provider"/>
        </w:rPr>
        <w:t>s</w:t>
      </w:r>
      <w:r w:rsidR="001B4EE6">
        <w:rPr>
          <w:rStyle w:val="ui-provider"/>
        </w:rPr>
        <w:t>e</w:t>
      </w:r>
      <w:r w:rsidR="00704653">
        <w:rPr>
          <w:rStyle w:val="ui-provider"/>
        </w:rPr>
        <w:t xml:space="preserve"> addition</w:t>
      </w:r>
      <w:r w:rsidR="001B4EE6">
        <w:rPr>
          <w:rStyle w:val="ui-provider"/>
        </w:rPr>
        <w:t>s</w:t>
      </w:r>
      <w:r w:rsidR="00704653">
        <w:rPr>
          <w:rStyle w:val="ui-provider"/>
        </w:rPr>
        <w:t>,</w:t>
      </w:r>
      <w:r w:rsidR="007E48A4">
        <w:rPr>
          <w:rStyle w:val="ui-provider"/>
        </w:rPr>
        <w:t xml:space="preserve"> we point to the potential unintended consequences of the application</w:t>
      </w:r>
      <w:r w:rsidR="001B7C2B">
        <w:rPr>
          <w:rStyle w:val="ui-provider"/>
        </w:rPr>
        <w:t xml:space="preserve"> of a potential prosecution</w:t>
      </w:r>
      <w:r w:rsidR="001B4EE6">
        <w:rPr>
          <w:rStyle w:val="ui-provider"/>
        </w:rPr>
        <w:t xml:space="preserve"> for unpaid fines.</w:t>
      </w:r>
    </w:p>
    <w:p w14:paraId="70FA706B" w14:textId="77777777" w:rsidR="004010E8" w:rsidRDefault="004010E8" w:rsidP="00273D55">
      <w:pPr>
        <w:spacing w:after="0" w:line="240" w:lineRule="auto"/>
        <w:rPr>
          <w:rStyle w:val="ui-provider"/>
        </w:rPr>
      </w:pPr>
    </w:p>
    <w:p w14:paraId="70699B3B" w14:textId="46F7C325" w:rsidR="00C422F5" w:rsidRDefault="004010E8" w:rsidP="004010E8">
      <w:pPr>
        <w:spacing w:after="0" w:line="240" w:lineRule="auto"/>
        <w:rPr>
          <w:rFonts w:cstheme="minorHAnsi"/>
        </w:rPr>
      </w:pPr>
      <w:r>
        <w:rPr>
          <w:rStyle w:val="ui-provider"/>
        </w:rPr>
        <w:t xml:space="preserve">Data shows us that </w:t>
      </w:r>
      <w:r w:rsidR="00D54FD7">
        <w:rPr>
          <w:rStyle w:val="ui-provider"/>
        </w:rPr>
        <w:t>t</w:t>
      </w:r>
      <w:r w:rsidR="00C422F5" w:rsidRPr="00D05233">
        <w:rPr>
          <w:rFonts w:cstheme="minorHAnsi"/>
        </w:rPr>
        <w:t>he offences for which people with cognitive disability are imprisoned are overwhelmingly in the lowest severity categories, including low level non-violent offences, traffic offences, theft and breach of orders.</w:t>
      </w:r>
      <w:r w:rsidR="00C422F5" w:rsidRPr="00D05233">
        <w:rPr>
          <w:rStyle w:val="FootnoteReference"/>
          <w:rFonts w:cstheme="minorHAnsi"/>
        </w:rPr>
        <w:footnoteReference w:id="3"/>
      </w:r>
      <w:r w:rsidR="00C422F5" w:rsidRPr="00D05233">
        <w:rPr>
          <w:rFonts w:cstheme="minorHAnsi"/>
        </w:rPr>
        <w:t xml:space="preserve"> </w:t>
      </w:r>
    </w:p>
    <w:p w14:paraId="7655A247" w14:textId="77777777" w:rsidR="002D2F08" w:rsidRDefault="002D2F08" w:rsidP="004010E8">
      <w:pPr>
        <w:spacing w:after="0" w:line="240" w:lineRule="auto"/>
        <w:rPr>
          <w:rFonts w:cstheme="minorHAnsi"/>
        </w:rPr>
      </w:pPr>
    </w:p>
    <w:p w14:paraId="70F49DDE" w14:textId="22282A2D" w:rsidR="002D2F08" w:rsidRPr="00702BE8" w:rsidRDefault="002D2F08" w:rsidP="004010E8">
      <w:pPr>
        <w:spacing w:after="0" w:line="240" w:lineRule="auto"/>
        <w:rPr>
          <w:rFonts w:cstheme="minorHAnsi"/>
        </w:rPr>
      </w:pPr>
      <w:r>
        <w:rPr>
          <w:rFonts w:cstheme="minorHAnsi"/>
        </w:rPr>
        <w:t>AFI encourage</w:t>
      </w:r>
      <w:r w:rsidR="00E04B41">
        <w:rPr>
          <w:rFonts w:cstheme="minorHAnsi"/>
        </w:rPr>
        <w:t xml:space="preserve"> the courts to always </w:t>
      </w:r>
      <w:r w:rsidR="007B4A25">
        <w:rPr>
          <w:rFonts w:cstheme="minorHAnsi"/>
        </w:rPr>
        <w:t>keep this in mind when assessing prosecution versus alternate pathways for people with disability.</w:t>
      </w:r>
    </w:p>
    <w:p w14:paraId="5F17D527" w14:textId="77777777" w:rsidR="000D735A" w:rsidRPr="00F02E27" w:rsidRDefault="000D735A" w:rsidP="000D735A">
      <w:pPr>
        <w:spacing w:after="0" w:line="240" w:lineRule="auto"/>
        <w:rPr>
          <w:rStyle w:val="ui-provider"/>
        </w:rPr>
      </w:pPr>
    </w:p>
    <w:p w14:paraId="30591807" w14:textId="5CDD3F12" w:rsidR="000D735A" w:rsidRPr="00F02E27" w:rsidRDefault="000D735A" w:rsidP="000D735A">
      <w:pPr>
        <w:spacing w:after="0" w:line="240" w:lineRule="auto"/>
        <w:rPr>
          <w:rStyle w:val="ui-provider"/>
        </w:rPr>
      </w:pPr>
      <w:r w:rsidRPr="00F02E27">
        <w:rPr>
          <w:rStyle w:val="ui-provider"/>
        </w:rPr>
        <w:t>Please feel free to contact</w:t>
      </w:r>
      <w:r w:rsidR="00C103FF">
        <w:rPr>
          <w:rStyle w:val="ui-provider"/>
        </w:rPr>
        <w:t xml:space="preserve"> Roslyn Emmerick, Senior Policy Officer in the first instan</w:t>
      </w:r>
      <w:r w:rsidR="00742AE3">
        <w:rPr>
          <w:rStyle w:val="ui-provider"/>
        </w:rPr>
        <w:t xml:space="preserve">ce </w:t>
      </w:r>
      <w:r w:rsidR="00CA245E">
        <w:rPr>
          <w:rStyle w:val="ui-provider"/>
        </w:rPr>
        <w:t>by</w:t>
      </w:r>
      <w:r w:rsidR="00742AE3">
        <w:rPr>
          <w:rStyle w:val="ui-provider"/>
        </w:rPr>
        <w:t xml:space="preserve"> email </w:t>
      </w:r>
      <w:r w:rsidR="000B571A">
        <w:rPr>
          <w:rStyle w:val="ui-provider"/>
        </w:rPr>
        <w:t xml:space="preserve">at </w:t>
      </w:r>
      <w:hyperlink r:id="rId10" w:history="1">
        <w:r w:rsidR="000B571A" w:rsidRPr="00872F9A">
          <w:rPr>
            <w:rStyle w:val="Hyperlink"/>
          </w:rPr>
          <w:t>Roslyn@advocacyforinclusion.org</w:t>
        </w:r>
      </w:hyperlink>
      <w:r w:rsidR="000B571A">
        <w:rPr>
          <w:rStyle w:val="ui-provider"/>
        </w:rPr>
        <w:t xml:space="preserve"> or </w:t>
      </w:r>
      <w:r w:rsidR="00A75BE1">
        <w:rPr>
          <w:rStyle w:val="ui-provider"/>
        </w:rPr>
        <w:t>Craig Wallace</w:t>
      </w:r>
      <w:r w:rsidR="00692D4C">
        <w:rPr>
          <w:rStyle w:val="ui-provider"/>
        </w:rPr>
        <w:t>, Head of Policy</w:t>
      </w:r>
      <w:r w:rsidR="00A75BE1">
        <w:rPr>
          <w:rStyle w:val="ui-provider"/>
        </w:rPr>
        <w:t xml:space="preserve"> </w:t>
      </w:r>
      <w:r w:rsidR="00692D4C">
        <w:rPr>
          <w:rStyle w:val="ui-provider"/>
        </w:rPr>
        <w:t>at</w:t>
      </w:r>
      <w:r w:rsidR="00B73C38">
        <w:rPr>
          <w:rStyle w:val="ui-provider"/>
        </w:rPr>
        <w:t xml:space="preserve"> </w:t>
      </w:r>
      <w:hyperlink r:id="rId11" w:history="1">
        <w:r w:rsidR="00B73C38" w:rsidRPr="00872F9A">
          <w:rPr>
            <w:rStyle w:val="Hyperlink"/>
          </w:rPr>
          <w:t>Craig@advocacyforinclusion.org</w:t>
        </w:r>
      </w:hyperlink>
      <w:r w:rsidR="00B73C38">
        <w:rPr>
          <w:rStyle w:val="ui-provider"/>
        </w:rPr>
        <w:t xml:space="preserve"> </w:t>
      </w:r>
      <w:r w:rsidRPr="00F02E27">
        <w:rPr>
          <w:rStyle w:val="ui-provider"/>
        </w:rPr>
        <w:t xml:space="preserve">to discuss this submission further. </w:t>
      </w:r>
    </w:p>
    <w:p w14:paraId="64FB9CBB" w14:textId="77777777" w:rsidR="000D735A" w:rsidRPr="00F02E27" w:rsidRDefault="000D735A" w:rsidP="000D735A">
      <w:pPr>
        <w:spacing w:after="0" w:line="240" w:lineRule="auto"/>
        <w:rPr>
          <w:rStyle w:val="ui-provider"/>
        </w:rPr>
      </w:pPr>
    </w:p>
    <w:p w14:paraId="23B8AA1F" w14:textId="77777777" w:rsidR="000D735A" w:rsidRPr="00F02E27" w:rsidRDefault="000D735A" w:rsidP="000D735A">
      <w:pPr>
        <w:spacing w:after="0" w:line="240" w:lineRule="auto"/>
        <w:rPr>
          <w:rStyle w:val="ui-provider"/>
        </w:rPr>
      </w:pPr>
      <w:r w:rsidRPr="00F02E27">
        <w:rPr>
          <w:rStyle w:val="ui-provider"/>
        </w:rPr>
        <w:t>Regards</w:t>
      </w:r>
    </w:p>
    <w:p w14:paraId="7E632839" w14:textId="77777777" w:rsidR="000D735A" w:rsidRPr="00F02E27" w:rsidRDefault="000D735A" w:rsidP="000D735A">
      <w:pPr>
        <w:spacing w:after="0" w:line="240" w:lineRule="auto"/>
        <w:rPr>
          <w:rStyle w:val="ui-provider"/>
        </w:rPr>
      </w:pPr>
    </w:p>
    <w:p w14:paraId="3D0AFF0E" w14:textId="77777777" w:rsidR="000D735A" w:rsidRPr="00F02E27" w:rsidRDefault="000D735A" w:rsidP="000D735A">
      <w:pPr>
        <w:spacing w:after="0" w:line="240" w:lineRule="auto"/>
        <w:rPr>
          <w:rStyle w:val="ui-provider"/>
        </w:rPr>
      </w:pPr>
      <w:r w:rsidRPr="00F02E27">
        <w:rPr>
          <w:rStyle w:val="ui-provider"/>
        </w:rPr>
        <w:t>(Sent by email)</w:t>
      </w:r>
    </w:p>
    <w:p w14:paraId="69E788BC" w14:textId="77777777" w:rsidR="000D735A" w:rsidRPr="00F02E27" w:rsidRDefault="000D735A" w:rsidP="000D735A">
      <w:pPr>
        <w:spacing w:after="0" w:line="240" w:lineRule="auto"/>
        <w:rPr>
          <w:rStyle w:val="ui-provider"/>
        </w:rPr>
      </w:pPr>
    </w:p>
    <w:p w14:paraId="72758D87" w14:textId="0FB29878" w:rsidR="000D735A" w:rsidRPr="00F02E27" w:rsidRDefault="008F30E6" w:rsidP="000D735A">
      <w:pPr>
        <w:spacing w:after="0" w:line="240" w:lineRule="auto"/>
        <w:rPr>
          <w:rStyle w:val="ui-provider"/>
        </w:rPr>
      </w:pPr>
      <w:r>
        <w:rPr>
          <w:rStyle w:val="ui-provider"/>
        </w:rPr>
        <w:t>Craig Wallace</w:t>
      </w:r>
    </w:p>
    <w:p w14:paraId="3C6298B4" w14:textId="692E151A" w:rsidR="00330C5D" w:rsidRDefault="008F30E6" w:rsidP="000D735A">
      <w:pPr>
        <w:spacing w:after="0" w:line="240" w:lineRule="auto"/>
        <w:rPr>
          <w:rStyle w:val="ui-provider"/>
        </w:rPr>
      </w:pPr>
      <w:r>
        <w:rPr>
          <w:rStyle w:val="ui-provider"/>
        </w:rPr>
        <w:t>Head of Policy</w:t>
      </w:r>
    </w:p>
    <w:p w14:paraId="3EB42D9E" w14:textId="29F1CD6D" w:rsidR="000D735A" w:rsidRPr="00F02E27" w:rsidRDefault="000D735A" w:rsidP="000D735A">
      <w:pPr>
        <w:spacing w:after="0" w:line="240" w:lineRule="auto"/>
        <w:rPr>
          <w:rStyle w:val="ui-provider"/>
        </w:rPr>
      </w:pPr>
      <w:r w:rsidRPr="00F02E27">
        <w:rPr>
          <w:rStyle w:val="ui-provider"/>
        </w:rPr>
        <w:t>Advocacy for Inclusion</w:t>
      </w:r>
    </w:p>
    <w:p w14:paraId="2146DF1E" w14:textId="6D5CB20A" w:rsidR="000D735A" w:rsidRPr="00F02E27" w:rsidRDefault="008F30E6" w:rsidP="000D735A">
      <w:pPr>
        <w:spacing w:after="0" w:line="240" w:lineRule="auto"/>
        <w:rPr>
          <w:rStyle w:val="ui-provider"/>
        </w:rPr>
      </w:pPr>
      <w:r>
        <w:rPr>
          <w:rStyle w:val="ui-provider"/>
        </w:rPr>
        <w:t>29</w:t>
      </w:r>
      <w:r w:rsidR="000D735A" w:rsidRPr="00F02E27">
        <w:rPr>
          <w:rStyle w:val="ui-provider"/>
        </w:rPr>
        <w:t xml:space="preserve"> </w:t>
      </w:r>
      <w:r w:rsidR="00282CCD">
        <w:rPr>
          <w:rStyle w:val="ui-provider"/>
        </w:rPr>
        <w:t>November</w:t>
      </w:r>
      <w:r w:rsidR="000D735A" w:rsidRPr="00F02E27">
        <w:rPr>
          <w:rStyle w:val="ui-provider"/>
        </w:rPr>
        <w:t xml:space="preserve"> 2023</w:t>
      </w:r>
    </w:p>
    <w:p w14:paraId="36EA37C6" w14:textId="77777777" w:rsidR="000D735A" w:rsidRPr="00A03C0F" w:rsidRDefault="000D735A" w:rsidP="000D735A">
      <w:pPr>
        <w:spacing w:after="0" w:line="240" w:lineRule="auto"/>
      </w:pPr>
    </w:p>
    <w:sectPr w:rsidR="000D735A" w:rsidRPr="00A03C0F" w:rsidSect="00394CAA">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CE8D" w14:textId="77777777" w:rsidR="00F212FD" w:rsidRDefault="00F212FD" w:rsidP="00B6675F">
      <w:pPr>
        <w:spacing w:after="0" w:line="240" w:lineRule="auto"/>
      </w:pPr>
      <w:r>
        <w:separator/>
      </w:r>
    </w:p>
  </w:endnote>
  <w:endnote w:type="continuationSeparator" w:id="0">
    <w:p w14:paraId="51D25A74" w14:textId="77777777" w:rsidR="00F212FD" w:rsidRDefault="00F212FD" w:rsidP="00B6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DIN">
    <w:altName w:val="Calibri"/>
    <w:charset w:val="00"/>
    <w:family w:val="swiss"/>
    <w:pitch w:val="variable"/>
    <w:sig w:usb0="8000006F" w:usb1="4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56DD" w14:textId="4D1D4213" w:rsidR="005244D2" w:rsidRDefault="005244D2"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C09A" w14:textId="77777777" w:rsidR="00F212FD" w:rsidRDefault="00F212FD" w:rsidP="00B6675F">
      <w:pPr>
        <w:spacing w:after="0" w:line="240" w:lineRule="auto"/>
      </w:pPr>
      <w:r>
        <w:separator/>
      </w:r>
    </w:p>
  </w:footnote>
  <w:footnote w:type="continuationSeparator" w:id="0">
    <w:p w14:paraId="2F8CC477" w14:textId="77777777" w:rsidR="00F212FD" w:rsidRDefault="00F212FD" w:rsidP="00B6675F">
      <w:pPr>
        <w:spacing w:after="0" w:line="240" w:lineRule="auto"/>
      </w:pPr>
      <w:r>
        <w:continuationSeparator/>
      </w:r>
    </w:p>
  </w:footnote>
  <w:footnote w:id="1">
    <w:p w14:paraId="5EC87A3A" w14:textId="77777777" w:rsidR="00227703" w:rsidRPr="00480D60" w:rsidRDefault="00227703" w:rsidP="00227703">
      <w:pPr>
        <w:pStyle w:val="FootnoteText"/>
      </w:pPr>
      <w:r>
        <w:rPr>
          <w:rStyle w:val="FootnoteReference"/>
        </w:rPr>
        <w:footnoteRef/>
      </w:r>
      <w:r w:rsidRPr="00E33651">
        <w:t xml:space="preserve"> Doyle, C. et al. (2022). </w:t>
      </w:r>
      <w:hyperlink r:id="rId1" w:history="1">
        <w:r w:rsidRPr="00480D60">
          <w:rPr>
            <w:rStyle w:val="Hyperlink"/>
          </w:rPr>
          <w:t>‘There’s not just a gap, there’s a chasm’: The boundaries between Australian disability services and prisons.</w:t>
        </w:r>
      </w:hyperlink>
      <w:r>
        <w:t xml:space="preserve"> Public Service Research Group, UNSW Canberra. </w:t>
      </w:r>
    </w:p>
  </w:footnote>
  <w:footnote w:id="2">
    <w:p w14:paraId="00F0C130" w14:textId="77777777" w:rsidR="00E97A65" w:rsidRPr="00686C6A" w:rsidRDefault="00E97A65" w:rsidP="00E97A65">
      <w:pPr>
        <w:pStyle w:val="FootnoteText"/>
      </w:pPr>
      <w:r>
        <w:rPr>
          <w:rStyle w:val="FootnoteReference"/>
        </w:rPr>
        <w:footnoteRef/>
      </w:r>
      <w:r w:rsidRPr="00686C6A">
        <w:t xml:space="preserve"> Young, J., van Dooren, K., Bors</w:t>
      </w:r>
      <w:r>
        <w:t>chmann, R., and Kinner, S. (2017</w:t>
      </w:r>
      <w:hyperlink r:id="rId2" w:history="1">
        <w:r w:rsidRPr="00686C6A">
          <w:rPr>
            <w:rStyle w:val="Hyperlink"/>
          </w:rPr>
          <w:t>). ACT Detainee Health and Wellbeing Survey 2016: Summary results</w:t>
        </w:r>
      </w:hyperlink>
      <w:r>
        <w:t xml:space="preserve">. </w:t>
      </w:r>
      <w:r w:rsidRPr="00686C6A">
        <w:t xml:space="preserve">Canberra, ACT </w:t>
      </w:r>
      <w:r>
        <w:t xml:space="preserve">Government, p. 31. </w:t>
      </w:r>
      <w:r w:rsidRPr="00686C6A">
        <w:t xml:space="preserve"> p. 31</w:t>
      </w:r>
    </w:p>
  </w:footnote>
  <w:footnote w:id="3">
    <w:p w14:paraId="1E7512A2" w14:textId="77777777" w:rsidR="00C422F5" w:rsidRDefault="00C422F5" w:rsidP="00C422F5">
      <w:pPr>
        <w:pStyle w:val="FootnoteText"/>
      </w:pPr>
      <w:r>
        <w:rPr>
          <w:rStyle w:val="FootnoteReference"/>
        </w:rPr>
        <w:footnoteRef/>
      </w:r>
      <w:r>
        <w:t xml:space="preserve"> Simpson, J. (2014). </w:t>
      </w:r>
      <w:hyperlink r:id="rId3" w:history="1">
        <w:r w:rsidRPr="005C7C7B">
          <w:rPr>
            <w:rStyle w:val="Hyperlink"/>
          </w:rPr>
          <w:t>‘Participants or just policed?’</w:t>
        </w:r>
      </w:hyperlink>
      <w:r>
        <w:t xml:space="preserve"> Guide to the role of the NDIS – people with intellectual disability who have contact with the criminal justice system. Sydney, New South Wales Council for Intellectual Disability, p. 28.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81FB" w14:textId="6A242AC6" w:rsidR="005244D2" w:rsidRDefault="005244D2">
    <w:pPr>
      <w:pStyle w:val="Header"/>
    </w:pPr>
    <w:r>
      <w:rPr>
        <w:noProof/>
      </w:rPr>
      <w:drawing>
        <wp:anchor distT="0" distB="0" distL="114300" distR="114300" simplePos="0" relativeHeight="251660288" behindDoc="1" locked="0" layoutInCell="1" allowOverlap="1" wp14:anchorId="1F428196" wp14:editId="37245A80">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5BBE" w14:textId="14FF4711" w:rsidR="00394CAA" w:rsidRDefault="00394CAA">
    <w:pPr>
      <w:pStyle w:val="Header"/>
    </w:pPr>
    <w:r>
      <w:rPr>
        <w:noProof/>
      </w:rPr>
      <w:drawing>
        <wp:anchor distT="0" distB="0" distL="114300" distR="114300" simplePos="0" relativeHeight="251659264" behindDoc="1" locked="0" layoutInCell="1" allowOverlap="1" wp14:anchorId="375EF883" wp14:editId="78725370">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40E0"/>
    <w:multiLevelType w:val="hybridMultilevel"/>
    <w:tmpl w:val="C47667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56709D1"/>
    <w:multiLevelType w:val="hybridMultilevel"/>
    <w:tmpl w:val="C4766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485369"/>
    <w:multiLevelType w:val="hybridMultilevel"/>
    <w:tmpl w:val="0AC6BE3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0D1D2B"/>
    <w:multiLevelType w:val="hybridMultilevel"/>
    <w:tmpl w:val="4836A6AC"/>
    <w:lvl w:ilvl="0" w:tplc="FFC6F090">
      <w:start w:val="29"/>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1657837">
    <w:abstractNumId w:val="1"/>
  </w:num>
  <w:num w:numId="2" w16cid:durableId="1526674975">
    <w:abstractNumId w:val="3"/>
  </w:num>
  <w:num w:numId="3" w16cid:durableId="820273989">
    <w:abstractNumId w:val="0"/>
  </w:num>
  <w:num w:numId="4" w16cid:durableId="45791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F"/>
    <w:rsid w:val="00005450"/>
    <w:rsid w:val="000070A9"/>
    <w:rsid w:val="0001318F"/>
    <w:rsid w:val="000161BA"/>
    <w:rsid w:val="00016B53"/>
    <w:rsid w:val="000179B7"/>
    <w:rsid w:val="00044D60"/>
    <w:rsid w:val="00057F78"/>
    <w:rsid w:val="000655FB"/>
    <w:rsid w:val="0006691B"/>
    <w:rsid w:val="000840B6"/>
    <w:rsid w:val="000B564F"/>
    <w:rsid w:val="000B571A"/>
    <w:rsid w:val="000C27CE"/>
    <w:rsid w:val="000D163E"/>
    <w:rsid w:val="000D40ED"/>
    <w:rsid w:val="000D735A"/>
    <w:rsid w:val="000E4561"/>
    <w:rsid w:val="00100E1D"/>
    <w:rsid w:val="00123CDF"/>
    <w:rsid w:val="001248FD"/>
    <w:rsid w:val="00136ACC"/>
    <w:rsid w:val="001426D6"/>
    <w:rsid w:val="001464A9"/>
    <w:rsid w:val="001541CF"/>
    <w:rsid w:val="001A79E8"/>
    <w:rsid w:val="001B4EE6"/>
    <w:rsid w:val="001B56C7"/>
    <w:rsid w:val="001B7C2B"/>
    <w:rsid w:val="001D3331"/>
    <w:rsid w:val="001E2F2D"/>
    <w:rsid w:val="001E4E7B"/>
    <w:rsid w:val="00217077"/>
    <w:rsid w:val="00223BEF"/>
    <w:rsid w:val="00223DF4"/>
    <w:rsid w:val="00227703"/>
    <w:rsid w:val="002643AE"/>
    <w:rsid w:val="0027312D"/>
    <w:rsid w:val="00273D55"/>
    <w:rsid w:val="00282CCD"/>
    <w:rsid w:val="002942E5"/>
    <w:rsid w:val="002A443F"/>
    <w:rsid w:val="002A61EF"/>
    <w:rsid w:val="002D21C0"/>
    <w:rsid w:val="002D2F08"/>
    <w:rsid w:val="002E633F"/>
    <w:rsid w:val="003169A8"/>
    <w:rsid w:val="003177AC"/>
    <w:rsid w:val="00320033"/>
    <w:rsid w:val="00320150"/>
    <w:rsid w:val="0033058E"/>
    <w:rsid w:val="00330C5D"/>
    <w:rsid w:val="00331461"/>
    <w:rsid w:val="00350FD4"/>
    <w:rsid w:val="00371F84"/>
    <w:rsid w:val="00375182"/>
    <w:rsid w:val="0037575D"/>
    <w:rsid w:val="00382E9D"/>
    <w:rsid w:val="00394CAA"/>
    <w:rsid w:val="003964D0"/>
    <w:rsid w:val="003A0D11"/>
    <w:rsid w:val="003A4F8C"/>
    <w:rsid w:val="003B368D"/>
    <w:rsid w:val="003C11BD"/>
    <w:rsid w:val="003D0CFF"/>
    <w:rsid w:val="003D7346"/>
    <w:rsid w:val="003D76AE"/>
    <w:rsid w:val="003E522E"/>
    <w:rsid w:val="003E5F00"/>
    <w:rsid w:val="003F1931"/>
    <w:rsid w:val="003F6E5A"/>
    <w:rsid w:val="003F7F3E"/>
    <w:rsid w:val="004010E8"/>
    <w:rsid w:val="004069E4"/>
    <w:rsid w:val="0042583D"/>
    <w:rsid w:val="00433756"/>
    <w:rsid w:val="004608B6"/>
    <w:rsid w:val="0047249D"/>
    <w:rsid w:val="004B15AE"/>
    <w:rsid w:val="004D5122"/>
    <w:rsid w:val="004F27F1"/>
    <w:rsid w:val="005019B4"/>
    <w:rsid w:val="00507963"/>
    <w:rsid w:val="005244D2"/>
    <w:rsid w:val="00531B93"/>
    <w:rsid w:val="00531F94"/>
    <w:rsid w:val="0055352A"/>
    <w:rsid w:val="00596764"/>
    <w:rsid w:val="00596CFF"/>
    <w:rsid w:val="005A5D5C"/>
    <w:rsid w:val="005A6EDD"/>
    <w:rsid w:val="005B4D2B"/>
    <w:rsid w:val="005D5B4A"/>
    <w:rsid w:val="005F77DF"/>
    <w:rsid w:val="00605A71"/>
    <w:rsid w:val="00622411"/>
    <w:rsid w:val="00634B70"/>
    <w:rsid w:val="00636058"/>
    <w:rsid w:val="00637C8F"/>
    <w:rsid w:val="0064103F"/>
    <w:rsid w:val="00644655"/>
    <w:rsid w:val="00652007"/>
    <w:rsid w:val="00652D6C"/>
    <w:rsid w:val="00662381"/>
    <w:rsid w:val="00667C09"/>
    <w:rsid w:val="00672320"/>
    <w:rsid w:val="00681DAA"/>
    <w:rsid w:val="006840C7"/>
    <w:rsid w:val="00692D4C"/>
    <w:rsid w:val="006B416C"/>
    <w:rsid w:val="006D00E7"/>
    <w:rsid w:val="006E4F5C"/>
    <w:rsid w:val="006F0257"/>
    <w:rsid w:val="006F1665"/>
    <w:rsid w:val="00704653"/>
    <w:rsid w:val="00706229"/>
    <w:rsid w:val="007130D7"/>
    <w:rsid w:val="00713F9E"/>
    <w:rsid w:val="00716848"/>
    <w:rsid w:val="00742AE3"/>
    <w:rsid w:val="00742FC4"/>
    <w:rsid w:val="00762373"/>
    <w:rsid w:val="00762BD0"/>
    <w:rsid w:val="0079021B"/>
    <w:rsid w:val="007A457D"/>
    <w:rsid w:val="007B4A25"/>
    <w:rsid w:val="007B5CB0"/>
    <w:rsid w:val="007B683B"/>
    <w:rsid w:val="007C442E"/>
    <w:rsid w:val="007C4636"/>
    <w:rsid w:val="007C63FA"/>
    <w:rsid w:val="007D5B34"/>
    <w:rsid w:val="007E0917"/>
    <w:rsid w:val="007E48A4"/>
    <w:rsid w:val="00804F0C"/>
    <w:rsid w:val="008105A2"/>
    <w:rsid w:val="00821540"/>
    <w:rsid w:val="00821F32"/>
    <w:rsid w:val="00825755"/>
    <w:rsid w:val="008459DB"/>
    <w:rsid w:val="008744C3"/>
    <w:rsid w:val="008774B6"/>
    <w:rsid w:val="008878CB"/>
    <w:rsid w:val="00892586"/>
    <w:rsid w:val="008A07A3"/>
    <w:rsid w:val="008C1EBD"/>
    <w:rsid w:val="008E616B"/>
    <w:rsid w:val="008F30E6"/>
    <w:rsid w:val="008F33E8"/>
    <w:rsid w:val="008F390A"/>
    <w:rsid w:val="008F3F0C"/>
    <w:rsid w:val="008F5F65"/>
    <w:rsid w:val="009006A5"/>
    <w:rsid w:val="00903F76"/>
    <w:rsid w:val="00922426"/>
    <w:rsid w:val="00931ADA"/>
    <w:rsid w:val="00937ADF"/>
    <w:rsid w:val="0094153F"/>
    <w:rsid w:val="00960BED"/>
    <w:rsid w:val="00973CAA"/>
    <w:rsid w:val="00980117"/>
    <w:rsid w:val="00982079"/>
    <w:rsid w:val="00991ED2"/>
    <w:rsid w:val="009944F4"/>
    <w:rsid w:val="009A033C"/>
    <w:rsid w:val="009A5806"/>
    <w:rsid w:val="009C3240"/>
    <w:rsid w:val="009D753B"/>
    <w:rsid w:val="009E3AE4"/>
    <w:rsid w:val="009F4A4F"/>
    <w:rsid w:val="00A10B4C"/>
    <w:rsid w:val="00A335F4"/>
    <w:rsid w:val="00A63858"/>
    <w:rsid w:val="00A657E9"/>
    <w:rsid w:val="00A75BE1"/>
    <w:rsid w:val="00A75CD1"/>
    <w:rsid w:val="00A834E6"/>
    <w:rsid w:val="00A8461C"/>
    <w:rsid w:val="00A91231"/>
    <w:rsid w:val="00A92952"/>
    <w:rsid w:val="00A935D8"/>
    <w:rsid w:val="00AB0395"/>
    <w:rsid w:val="00AB5443"/>
    <w:rsid w:val="00AB5515"/>
    <w:rsid w:val="00AB7513"/>
    <w:rsid w:val="00AB75B5"/>
    <w:rsid w:val="00AC1C1B"/>
    <w:rsid w:val="00AE00FE"/>
    <w:rsid w:val="00AE0AF0"/>
    <w:rsid w:val="00B100DE"/>
    <w:rsid w:val="00B13262"/>
    <w:rsid w:val="00B13DFC"/>
    <w:rsid w:val="00B57DA2"/>
    <w:rsid w:val="00B66398"/>
    <w:rsid w:val="00B6675F"/>
    <w:rsid w:val="00B73C38"/>
    <w:rsid w:val="00B74BFE"/>
    <w:rsid w:val="00B82C1A"/>
    <w:rsid w:val="00B913E8"/>
    <w:rsid w:val="00B92452"/>
    <w:rsid w:val="00BA1450"/>
    <w:rsid w:val="00BA70A4"/>
    <w:rsid w:val="00BC5E36"/>
    <w:rsid w:val="00BD1C6F"/>
    <w:rsid w:val="00BE3FBC"/>
    <w:rsid w:val="00BE5B7D"/>
    <w:rsid w:val="00BF0C77"/>
    <w:rsid w:val="00C04C76"/>
    <w:rsid w:val="00C06D1A"/>
    <w:rsid w:val="00C103FF"/>
    <w:rsid w:val="00C26EA1"/>
    <w:rsid w:val="00C422F5"/>
    <w:rsid w:val="00C7100E"/>
    <w:rsid w:val="00C750A7"/>
    <w:rsid w:val="00C8020F"/>
    <w:rsid w:val="00CA245E"/>
    <w:rsid w:val="00CA67E5"/>
    <w:rsid w:val="00CA6C5B"/>
    <w:rsid w:val="00CB6A56"/>
    <w:rsid w:val="00CD124F"/>
    <w:rsid w:val="00CE387C"/>
    <w:rsid w:val="00D25705"/>
    <w:rsid w:val="00D330CF"/>
    <w:rsid w:val="00D47F7E"/>
    <w:rsid w:val="00D54FD7"/>
    <w:rsid w:val="00D57A33"/>
    <w:rsid w:val="00D60FC5"/>
    <w:rsid w:val="00D6477B"/>
    <w:rsid w:val="00D72429"/>
    <w:rsid w:val="00D8046B"/>
    <w:rsid w:val="00D863E6"/>
    <w:rsid w:val="00D9415E"/>
    <w:rsid w:val="00D94446"/>
    <w:rsid w:val="00D94E97"/>
    <w:rsid w:val="00DA1C52"/>
    <w:rsid w:val="00DB3E65"/>
    <w:rsid w:val="00DD1ACE"/>
    <w:rsid w:val="00DF3783"/>
    <w:rsid w:val="00E04B41"/>
    <w:rsid w:val="00E0616E"/>
    <w:rsid w:val="00E26A2C"/>
    <w:rsid w:val="00E3565B"/>
    <w:rsid w:val="00E37A30"/>
    <w:rsid w:val="00E4640A"/>
    <w:rsid w:val="00E737F7"/>
    <w:rsid w:val="00E83233"/>
    <w:rsid w:val="00E848C4"/>
    <w:rsid w:val="00E87542"/>
    <w:rsid w:val="00E94FB9"/>
    <w:rsid w:val="00E97A65"/>
    <w:rsid w:val="00EA2819"/>
    <w:rsid w:val="00EB435D"/>
    <w:rsid w:val="00EB59DA"/>
    <w:rsid w:val="00EB67EB"/>
    <w:rsid w:val="00EB74DB"/>
    <w:rsid w:val="00EE1CF0"/>
    <w:rsid w:val="00F132B3"/>
    <w:rsid w:val="00F16BF3"/>
    <w:rsid w:val="00F17161"/>
    <w:rsid w:val="00F212FD"/>
    <w:rsid w:val="00F73ED2"/>
    <w:rsid w:val="00F95029"/>
    <w:rsid w:val="00FB4557"/>
    <w:rsid w:val="00FB6724"/>
    <w:rsid w:val="00FD6E23"/>
    <w:rsid w:val="00FF1D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FD94"/>
  <w15:chartTrackingRefBased/>
  <w15:docId w15:val="{B57242B2-79A6-4E0B-92B5-5CCAF395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A912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B6675F"/>
    <w:rPr>
      <w:b/>
      <w:bCs/>
      <w:sz w:val="40"/>
      <w:szCs w:val="40"/>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B6675F"/>
    <w:rPr>
      <w:rFonts w:ascii="Arial" w:hAnsi="Arial"/>
      <w:b/>
      <w:bCs/>
      <w:sz w:val="40"/>
      <w:szCs w:val="40"/>
    </w:rPr>
  </w:style>
  <w:style w:type="character" w:styleId="Hyperlink">
    <w:name w:val="Hyperlink"/>
    <w:basedOn w:val="DefaultParagraphFont"/>
    <w:uiPriority w:val="99"/>
    <w:unhideWhenUsed/>
    <w:rsid w:val="000D735A"/>
    <w:rPr>
      <w:color w:val="0000FF"/>
      <w:u w:val="single"/>
    </w:rPr>
  </w:style>
  <w:style w:type="character" w:customStyle="1" w:styleId="ui-provider">
    <w:name w:val="ui-provider"/>
    <w:basedOn w:val="DefaultParagraphFont"/>
    <w:rsid w:val="000D735A"/>
  </w:style>
  <w:style w:type="character" w:styleId="UnresolvedMention">
    <w:name w:val="Unresolved Mention"/>
    <w:basedOn w:val="DefaultParagraphFont"/>
    <w:uiPriority w:val="99"/>
    <w:semiHidden/>
    <w:unhideWhenUsed/>
    <w:rsid w:val="00100E1D"/>
    <w:rPr>
      <w:color w:val="605E5C"/>
      <w:shd w:val="clear" w:color="auto" w:fill="E1DFDD"/>
    </w:rPr>
  </w:style>
  <w:style w:type="character" w:customStyle="1" w:styleId="Heading4Char">
    <w:name w:val="Heading 4 Char"/>
    <w:basedOn w:val="DefaultParagraphFont"/>
    <w:link w:val="Heading4"/>
    <w:uiPriority w:val="9"/>
    <w:semiHidden/>
    <w:rsid w:val="00A91231"/>
    <w:rPr>
      <w:rFonts w:asciiTheme="majorHAnsi" w:eastAsiaTheme="majorEastAsia" w:hAnsiTheme="majorHAnsi" w:cstheme="majorBidi"/>
      <w:i/>
      <w:iCs/>
      <w:color w:val="2F5496" w:themeColor="accent1" w:themeShade="BF"/>
      <w:sz w:val="24"/>
    </w:rPr>
  </w:style>
  <w:style w:type="character" w:customStyle="1" w:styleId="normaltextrun">
    <w:name w:val="normaltextrun"/>
    <w:basedOn w:val="DefaultParagraphFont"/>
    <w:rsid w:val="000161BA"/>
  </w:style>
  <w:style w:type="paragraph" w:customStyle="1" w:styleId="paragraph">
    <w:name w:val="paragraph"/>
    <w:basedOn w:val="Normal"/>
    <w:rsid w:val="000161BA"/>
    <w:pPr>
      <w:spacing w:before="100" w:beforeAutospacing="1" w:after="100" w:afterAutospacing="1" w:line="240" w:lineRule="auto"/>
    </w:pPr>
    <w:rPr>
      <w:rFonts w:ascii="Times New Roman" w:eastAsia="Times New Roman" w:hAnsi="Times New Roman" w:cs="Times New Roman"/>
      <w:szCs w:val="24"/>
      <w:lang w:eastAsia="en-AU"/>
    </w:rPr>
  </w:style>
  <w:style w:type="paragraph" w:styleId="ListParagraph">
    <w:name w:val="List Paragraph"/>
    <w:basedOn w:val="Normal"/>
    <w:link w:val="ListParagraphChar"/>
    <w:uiPriority w:val="34"/>
    <w:qFormat/>
    <w:rsid w:val="00C422F5"/>
    <w:pPr>
      <w:spacing w:line="259"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C422F5"/>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
    <w:basedOn w:val="Normal"/>
    <w:link w:val="FootnoteTextChar"/>
    <w:uiPriority w:val="99"/>
    <w:unhideWhenUsed/>
    <w:qFormat/>
    <w:rsid w:val="00C422F5"/>
    <w:pPr>
      <w:spacing w:after="0" w:line="240" w:lineRule="auto"/>
    </w:pPr>
    <w:rPr>
      <w:rFonts w:ascii="D-DIN" w:hAnsi="D-DIN"/>
      <w:sz w:val="20"/>
      <w:szCs w:val="20"/>
      <w:lang w:eastAsia="zh-CN"/>
    </w:rPr>
  </w:style>
  <w:style w:type="character" w:customStyle="1" w:styleId="FootnoteTextChar">
    <w:name w:val="Footnote Text Char"/>
    <w:aliases w:val="Footnote Text Char Char Char Char Char Char Char,Footnote Text Char Char Char Char Char Char Char Char Char Char Char Char Char Char Char Char Char Char,f Char"/>
    <w:basedOn w:val="DefaultParagraphFont"/>
    <w:link w:val="FootnoteText"/>
    <w:uiPriority w:val="99"/>
    <w:rsid w:val="00C422F5"/>
    <w:rPr>
      <w:rFonts w:ascii="D-DIN" w:hAnsi="D-DIN"/>
      <w:sz w:val="20"/>
      <w:szCs w:val="20"/>
      <w:lang w:eastAsia="zh-CN"/>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C422F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422F5"/>
    <w:pPr>
      <w:spacing w:line="240" w:lineRule="exact"/>
      <w:jc w:val="both"/>
    </w:pPr>
    <w:rPr>
      <w:rFonts w:asciiTheme="minorHAnsi" w:hAnsiTheme="minorHAnsi"/>
      <w:sz w:val="22"/>
      <w:vertAlign w:val="superscript"/>
    </w:rPr>
  </w:style>
  <w:style w:type="character" w:customStyle="1" w:styleId="eop">
    <w:name w:val="eop"/>
    <w:basedOn w:val="DefaultParagraphFont"/>
    <w:rsid w:val="00E9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0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aig@advocacyforinclusio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oslyn@advocacyforinclusion.org" TargetMode="External"/><Relationship Id="rId4" Type="http://schemas.openxmlformats.org/officeDocument/2006/relationships/styles" Target="styles.xml"/><Relationship Id="rId9" Type="http://schemas.openxmlformats.org/officeDocument/2006/relationships/hyperlink" Target="mailto:LACommitteeJCS@parliament.act.gov.a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id.org.au/wp-content/uploads/2019/07/Participants-or-just-policed.pdf" TargetMode="External"/><Relationship Id="rId2" Type="http://schemas.openxmlformats.org/officeDocument/2006/relationships/hyperlink" Target="https://www.ics.act.gov.au/__data/assets/pdf_file/0009/1325997/2016-ACT-Detainee-Health-and-Wellbeing-Survey-Report.pdf" TargetMode="External"/><Relationship Id="rId1" Type="http://schemas.openxmlformats.org/officeDocument/2006/relationships/hyperlink" Target="https://www.unsw.adfa.edu.au/sites/default/files/documents/The%20boundaries%20between%20Australian%20disability%20services%20and%20prisons%20report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7" ma:contentTypeDescription="Create a new document." ma:contentTypeScope="" ma:versionID="554407a42ff86457c0f5c3349f113823">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bbd5ea4d723bd5274cf050efe6e90dbf"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1817F9-3525-46FF-8150-41387484EFB4}">
  <ds:schemaRefs>
    <ds:schemaRef ds:uri="http://schemas.microsoft.com/sharepoint/v3/contenttype/forms"/>
  </ds:schemaRefs>
</ds:datastoreItem>
</file>

<file path=customXml/itemProps2.xml><?xml version="1.0" encoding="utf-8"?>
<ds:datastoreItem xmlns:ds="http://schemas.openxmlformats.org/officeDocument/2006/customXml" ds:itemID="{5285D21A-1ABF-48E6-8DF5-34D1B7FAF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546D9-B374-490A-8C6A-E4FAF92384D8}"/>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4955</Characters>
  <Application>Microsoft Office Word</Application>
  <DocSecurity>0</DocSecurity>
  <Lines>41</Lines>
  <Paragraphs>11</Paragraphs>
  <ScaleCrop>false</ScaleCrop>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dc:creator>
  <cp:keywords/>
  <dc:description/>
  <cp:lastModifiedBy>Roslyn Emmerick</cp:lastModifiedBy>
  <cp:revision>2</cp:revision>
  <dcterms:created xsi:type="dcterms:W3CDTF">2023-11-28T23:39:00Z</dcterms:created>
  <dcterms:modified xsi:type="dcterms:W3CDTF">2023-11-28T23:39:00Z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ContentTypeId">
    <vt:lpwstr>0x0101001B790164420FE54C9F81E813F02AEC85</vt:lpwstr>
  </property>
  <property fmtid="{D5CDD505-2E9C-101B-9397-08002B2CF9AE}" pid="4" name="MediaServiceImageTags">
    <vt:lpwstr/>
  </property>
</Properties>
</file>